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D40" w:rsidRDefault="00B5435A" w:rsidP="00C46D7D">
      <w:pPr>
        <w:pStyle w:val="EAUCHeader"/>
        <w:jc w:val="left"/>
        <w:rPr>
          <w:b/>
          <w:sz w:val="44"/>
          <w:szCs w:val="44"/>
        </w:rPr>
      </w:pPr>
      <w:r w:rsidRPr="004972E2">
        <w:rPr>
          <w:b/>
          <w:sz w:val="44"/>
          <w:szCs w:val="44"/>
        </w:rPr>
        <w:t xml:space="preserve">Briefing Paper: </w:t>
      </w:r>
    </w:p>
    <w:p w:rsidR="00DA0B38" w:rsidRPr="004972E2" w:rsidRDefault="00747429" w:rsidP="00C46D7D">
      <w:pPr>
        <w:pStyle w:val="EAUCHeader"/>
        <w:jc w:val="left"/>
        <w:rPr>
          <w:b/>
          <w:sz w:val="44"/>
          <w:szCs w:val="44"/>
        </w:rPr>
      </w:pPr>
      <w:r w:rsidRPr="004972E2">
        <w:rPr>
          <w:b/>
          <w:sz w:val="44"/>
          <w:szCs w:val="44"/>
        </w:rPr>
        <w:t xml:space="preserve">What is </w:t>
      </w:r>
      <w:r w:rsidR="00F96486" w:rsidRPr="004972E2">
        <w:rPr>
          <w:b/>
          <w:sz w:val="44"/>
          <w:szCs w:val="44"/>
        </w:rPr>
        <w:t>Divestment</w:t>
      </w:r>
      <w:r w:rsidRPr="004972E2">
        <w:rPr>
          <w:b/>
          <w:sz w:val="44"/>
          <w:szCs w:val="44"/>
        </w:rPr>
        <w:t>?</w:t>
      </w:r>
    </w:p>
    <w:p w:rsidR="00C9675F" w:rsidRPr="004972E2" w:rsidRDefault="007800B6" w:rsidP="00C46D7D">
      <w:pPr>
        <w:pStyle w:val="EAUCHeader"/>
        <w:jc w:val="left"/>
        <w:rPr>
          <w:color w:val="804F9B"/>
          <w:sz w:val="36"/>
          <w:szCs w:val="36"/>
        </w:rPr>
      </w:pPr>
      <w:r w:rsidRPr="004972E2">
        <w:rPr>
          <w:color w:val="804F9B"/>
          <w:sz w:val="36"/>
          <w:szCs w:val="36"/>
        </w:rPr>
        <w:t>May</w:t>
      </w:r>
      <w:r w:rsidR="00C9675F" w:rsidRPr="004972E2">
        <w:rPr>
          <w:color w:val="804F9B"/>
          <w:sz w:val="36"/>
          <w:szCs w:val="36"/>
        </w:rPr>
        <w:t xml:space="preserve"> 2020</w:t>
      </w:r>
    </w:p>
    <w:p w:rsidR="00F96486" w:rsidRPr="00241D40" w:rsidRDefault="00F96486" w:rsidP="00F96486">
      <w:pPr>
        <w:rPr>
          <w:rFonts w:ascii="Tahoma" w:hAnsi="Tahoma" w:cs="Tahoma"/>
          <w:b/>
          <w:sz w:val="20"/>
          <w:szCs w:val="20"/>
          <w:lang w:val="en-GB"/>
        </w:rPr>
      </w:pPr>
      <w:r w:rsidRPr="00241D40">
        <w:rPr>
          <w:rFonts w:ascii="Tahoma" w:hAnsi="Tahoma" w:cs="Tahoma"/>
          <w:b/>
          <w:sz w:val="20"/>
          <w:szCs w:val="20"/>
        </w:rPr>
        <w:t>What is Divestment?</w:t>
      </w:r>
    </w:p>
    <w:p w:rsidR="00F96486" w:rsidRPr="00241D40" w:rsidRDefault="00F96486" w:rsidP="00F96486">
      <w:pPr>
        <w:rPr>
          <w:rFonts w:ascii="Tahoma" w:hAnsi="Tahoma" w:cs="Tahoma"/>
          <w:sz w:val="20"/>
          <w:szCs w:val="20"/>
        </w:rPr>
      </w:pPr>
      <w:r w:rsidRPr="00241D40">
        <w:rPr>
          <w:rFonts w:ascii="Tahoma" w:hAnsi="Tahoma" w:cs="Tahoma"/>
          <w:sz w:val="20"/>
          <w:szCs w:val="20"/>
        </w:rPr>
        <w:t xml:space="preserve">Divesting is selling off of assets, e.g shares. Typically used in the context of selling of </w:t>
      </w:r>
      <w:r w:rsidR="008638C2" w:rsidRPr="00241D40">
        <w:rPr>
          <w:rFonts w:ascii="Tahoma" w:hAnsi="Tahoma" w:cs="Tahoma"/>
          <w:sz w:val="20"/>
          <w:szCs w:val="20"/>
        </w:rPr>
        <w:t>assets</w:t>
      </w:r>
      <w:r w:rsidRPr="00241D40">
        <w:rPr>
          <w:rFonts w:ascii="Tahoma" w:hAnsi="Tahoma" w:cs="Tahoma"/>
          <w:sz w:val="20"/>
          <w:szCs w:val="20"/>
        </w:rPr>
        <w:t xml:space="preserve"> that are deemed immoral such as fossil fuels or weapons</w:t>
      </w:r>
      <w:r w:rsidR="00E95A7D" w:rsidRPr="00241D40">
        <w:rPr>
          <w:rFonts w:ascii="Tahoma" w:hAnsi="Tahoma" w:cs="Tahoma"/>
          <w:sz w:val="20"/>
          <w:szCs w:val="20"/>
        </w:rPr>
        <w:t>.</w:t>
      </w:r>
    </w:p>
    <w:p w:rsidR="00F96486" w:rsidRPr="00241D40" w:rsidRDefault="00F96486" w:rsidP="00F96486">
      <w:pPr>
        <w:rPr>
          <w:rFonts w:ascii="Tahoma" w:hAnsi="Tahoma" w:cs="Tahoma"/>
          <w:b/>
          <w:sz w:val="20"/>
          <w:szCs w:val="20"/>
        </w:rPr>
      </w:pPr>
      <w:r w:rsidRPr="00241D40">
        <w:rPr>
          <w:rFonts w:ascii="Tahoma" w:hAnsi="Tahoma" w:cs="Tahoma"/>
          <w:b/>
          <w:sz w:val="20"/>
          <w:szCs w:val="20"/>
        </w:rPr>
        <w:t xml:space="preserve">What </w:t>
      </w:r>
      <w:r w:rsidR="008638C2" w:rsidRPr="00241D40">
        <w:rPr>
          <w:rFonts w:ascii="Tahoma" w:hAnsi="Tahoma" w:cs="Tahoma"/>
          <w:b/>
          <w:sz w:val="20"/>
          <w:szCs w:val="20"/>
        </w:rPr>
        <w:t>is the purpose?</w:t>
      </w:r>
    </w:p>
    <w:p w:rsidR="008638C2" w:rsidRPr="00241D40" w:rsidRDefault="008638C2" w:rsidP="00F96486">
      <w:pPr>
        <w:rPr>
          <w:rFonts w:ascii="Tahoma" w:hAnsi="Tahoma" w:cs="Tahoma"/>
          <w:sz w:val="20"/>
          <w:szCs w:val="20"/>
        </w:rPr>
      </w:pPr>
      <w:r w:rsidRPr="00241D40">
        <w:rPr>
          <w:rFonts w:ascii="Tahoma" w:hAnsi="Tahoma" w:cs="Tahoma"/>
          <w:bCs/>
          <w:sz w:val="20"/>
          <w:szCs w:val="20"/>
        </w:rPr>
        <w:t>Divesting is primarily a way for an organization to distance itself from actions it deems undesirable. The aim is to removal the social license that industries</w:t>
      </w:r>
      <w:r w:rsidR="00C71D1B" w:rsidRPr="00241D40">
        <w:rPr>
          <w:rFonts w:ascii="Tahoma" w:hAnsi="Tahoma" w:cs="Tahoma"/>
          <w:bCs/>
          <w:sz w:val="20"/>
          <w:szCs w:val="20"/>
        </w:rPr>
        <w:t xml:space="preserve"> </w:t>
      </w:r>
      <w:r w:rsidR="00E95A7D" w:rsidRPr="00241D40">
        <w:rPr>
          <w:rFonts w:ascii="Tahoma" w:hAnsi="Tahoma" w:cs="Tahoma"/>
          <w:bCs/>
          <w:sz w:val="20"/>
          <w:szCs w:val="20"/>
        </w:rPr>
        <w:t>possess</w:t>
      </w:r>
      <w:r w:rsidRPr="00241D40">
        <w:rPr>
          <w:rFonts w:ascii="Tahoma" w:hAnsi="Tahoma" w:cs="Tahoma"/>
          <w:bCs/>
          <w:sz w:val="20"/>
          <w:szCs w:val="20"/>
        </w:rPr>
        <w:t xml:space="preserve"> in order to drive investment and subsides away from them. </w:t>
      </w:r>
      <w:r w:rsidR="00B7229B" w:rsidRPr="00241D40">
        <w:rPr>
          <w:rFonts w:ascii="Tahoma" w:hAnsi="Tahoma" w:cs="Tahoma"/>
          <w:bCs/>
          <w:sz w:val="20"/>
          <w:szCs w:val="20"/>
        </w:rPr>
        <w:t xml:space="preserve">Divestment is </w:t>
      </w:r>
      <w:r w:rsidR="00B7229B" w:rsidRPr="00241D40">
        <w:rPr>
          <w:rFonts w:ascii="Tahoma" w:hAnsi="Tahoma" w:cs="Tahoma"/>
          <w:b/>
          <w:sz w:val="20"/>
          <w:szCs w:val="20"/>
        </w:rPr>
        <w:t>not about damaging a company economically</w:t>
      </w:r>
      <w:r w:rsidR="00B7229B" w:rsidRPr="00241D40">
        <w:rPr>
          <w:rFonts w:ascii="Tahoma" w:hAnsi="Tahoma" w:cs="Tahoma"/>
          <w:bCs/>
          <w:sz w:val="20"/>
          <w:szCs w:val="20"/>
        </w:rPr>
        <w:t xml:space="preserve">. </w:t>
      </w:r>
      <w:r w:rsidR="004972E2" w:rsidRPr="00241D40">
        <w:rPr>
          <w:rFonts w:ascii="Tahoma" w:hAnsi="Tahoma" w:cs="Tahoma"/>
          <w:bCs/>
          <w:sz w:val="20"/>
          <w:szCs w:val="20"/>
        </w:rPr>
        <w:t xml:space="preserve"> </w:t>
      </w:r>
      <w:r w:rsidR="004972E2" w:rsidRPr="00241D40">
        <w:rPr>
          <w:rFonts w:ascii="Tahoma" w:hAnsi="Tahoma" w:cs="Tahoma"/>
          <w:sz w:val="20"/>
          <w:szCs w:val="20"/>
        </w:rPr>
        <w:t>The direct impact of divesting is minimal, the aim is to stigmatise</w:t>
      </w:r>
      <w:r w:rsidR="00A979DB" w:rsidRPr="00241D40">
        <w:rPr>
          <w:rFonts w:ascii="Tahoma" w:hAnsi="Tahoma" w:cs="Tahoma"/>
          <w:sz w:val="20"/>
          <w:szCs w:val="20"/>
        </w:rPr>
        <w:t xml:space="preserve"> and highlight your principles</w:t>
      </w:r>
      <w:r w:rsidR="00843E8F" w:rsidRPr="00241D40">
        <w:rPr>
          <w:rFonts w:ascii="Tahoma" w:hAnsi="Tahoma" w:cs="Tahoma"/>
          <w:sz w:val="20"/>
          <w:szCs w:val="20"/>
        </w:rPr>
        <w:t>.</w:t>
      </w:r>
    </w:p>
    <w:p w:rsidR="008638C2" w:rsidRPr="00241D40" w:rsidRDefault="00820C71" w:rsidP="00F96486">
      <w:pPr>
        <w:rPr>
          <w:rFonts w:ascii="Tahoma" w:hAnsi="Tahoma" w:cs="Tahoma"/>
          <w:b/>
          <w:sz w:val="20"/>
          <w:szCs w:val="20"/>
        </w:rPr>
      </w:pPr>
      <w:r w:rsidRPr="00241D40">
        <w:rPr>
          <w:rFonts w:ascii="Tahoma" w:hAnsi="Tahoma" w:cs="Tahoma"/>
          <w:b/>
          <w:sz w:val="20"/>
          <w:szCs w:val="20"/>
        </w:rPr>
        <w:t>How does owning shares have an impact?</w:t>
      </w:r>
    </w:p>
    <w:p w:rsidR="008638C2" w:rsidRPr="00241D40" w:rsidRDefault="008638C2" w:rsidP="00F96486">
      <w:pPr>
        <w:rPr>
          <w:rFonts w:ascii="Tahoma" w:hAnsi="Tahoma" w:cs="Tahoma"/>
          <w:bCs/>
          <w:sz w:val="20"/>
          <w:szCs w:val="20"/>
        </w:rPr>
      </w:pPr>
      <w:r w:rsidRPr="00241D40">
        <w:rPr>
          <w:rFonts w:ascii="Tahoma" w:hAnsi="Tahoma" w:cs="Tahoma"/>
          <w:bCs/>
          <w:sz w:val="20"/>
          <w:szCs w:val="20"/>
        </w:rPr>
        <w:t>The impact will depend on the way the shares were bought to begin with, whether they were/are being bought on the primary or secondary market.</w:t>
      </w:r>
    </w:p>
    <w:p w:rsidR="008638C2" w:rsidRPr="00241D40" w:rsidRDefault="008638C2" w:rsidP="00F96486">
      <w:pPr>
        <w:rPr>
          <w:rFonts w:ascii="Tahoma" w:hAnsi="Tahoma" w:cs="Tahoma"/>
          <w:b/>
          <w:sz w:val="20"/>
          <w:szCs w:val="20"/>
        </w:rPr>
      </w:pPr>
      <w:r w:rsidRPr="00241D40">
        <w:rPr>
          <w:rFonts w:ascii="Tahoma" w:hAnsi="Tahoma" w:cs="Tahoma"/>
          <w:b/>
          <w:sz w:val="20"/>
          <w:szCs w:val="20"/>
        </w:rPr>
        <w:t xml:space="preserve">Primary Markets: </w:t>
      </w:r>
      <w:r w:rsidRPr="00241D40">
        <w:rPr>
          <w:rFonts w:ascii="Tahoma" w:hAnsi="Tahoma" w:cs="Tahoma"/>
          <w:bCs/>
          <w:sz w:val="20"/>
          <w:szCs w:val="20"/>
        </w:rPr>
        <w:t xml:space="preserve">Buying shares directly from the </w:t>
      </w:r>
      <w:r w:rsidR="00820C71" w:rsidRPr="00241D40">
        <w:rPr>
          <w:rFonts w:ascii="Tahoma" w:hAnsi="Tahoma" w:cs="Tahoma"/>
          <w:bCs/>
          <w:sz w:val="20"/>
          <w:szCs w:val="20"/>
        </w:rPr>
        <w:t xml:space="preserve">selling </w:t>
      </w:r>
      <w:r w:rsidRPr="00241D40">
        <w:rPr>
          <w:rFonts w:ascii="Tahoma" w:hAnsi="Tahoma" w:cs="Tahoma"/>
          <w:bCs/>
          <w:sz w:val="20"/>
          <w:szCs w:val="20"/>
        </w:rPr>
        <w:t>company and thus giving money to the</w:t>
      </w:r>
      <w:r w:rsidR="00E95A7D" w:rsidRPr="00241D40">
        <w:rPr>
          <w:rFonts w:ascii="Tahoma" w:hAnsi="Tahoma" w:cs="Tahoma"/>
          <w:bCs/>
          <w:sz w:val="20"/>
          <w:szCs w:val="20"/>
        </w:rPr>
        <w:t>m.</w:t>
      </w:r>
    </w:p>
    <w:p w:rsidR="008638C2" w:rsidRPr="00241D40" w:rsidRDefault="008638C2" w:rsidP="00F96486">
      <w:pPr>
        <w:rPr>
          <w:rFonts w:ascii="Tahoma" w:hAnsi="Tahoma" w:cs="Tahoma"/>
          <w:bCs/>
          <w:sz w:val="20"/>
          <w:szCs w:val="20"/>
        </w:rPr>
      </w:pPr>
      <w:r w:rsidRPr="00241D40">
        <w:rPr>
          <w:rFonts w:ascii="Tahoma" w:hAnsi="Tahoma" w:cs="Tahoma"/>
          <w:b/>
          <w:sz w:val="20"/>
          <w:szCs w:val="20"/>
        </w:rPr>
        <w:t xml:space="preserve">Secondary Markets: </w:t>
      </w:r>
      <w:r w:rsidRPr="00241D40">
        <w:rPr>
          <w:rFonts w:ascii="Tahoma" w:hAnsi="Tahoma" w:cs="Tahoma"/>
          <w:bCs/>
          <w:sz w:val="20"/>
          <w:szCs w:val="20"/>
        </w:rPr>
        <w:t>Buying shares on the stock market which are being sold by individuals. This is what the majority of trades are. On the secondary market the same shares are sold, bought and resold by many people as ownership is passed around</w:t>
      </w:r>
      <w:r w:rsidR="00B80A59" w:rsidRPr="00241D40">
        <w:rPr>
          <w:rFonts w:ascii="Tahoma" w:hAnsi="Tahoma" w:cs="Tahoma"/>
          <w:bCs/>
          <w:sz w:val="20"/>
          <w:szCs w:val="20"/>
        </w:rPr>
        <w:t xml:space="preserve"> (like buying a secondhand car)</w:t>
      </w:r>
      <w:r w:rsidRPr="00241D40">
        <w:rPr>
          <w:rFonts w:ascii="Tahoma" w:hAnsi="Tahoma" w:cs="Tahoma"/>
          <w:bCs/>
          <w:sz w:val="20"/>
          <w:szCs w:val="20"/>
        </w:rPr>
        <w:t>.</w:t>
      </w:r>
    </w:p>
    <w:p w:rsidR="00820C71" w:rsidRPr="00241D40" w:rsidRDefault="008638C2" w:rsidP="00F96486">
      <w:pPr>
        <w:rPr>
          <w:rFonts w:ascii="Tahoma" w:hAnsi="Tahoma" w:cs="Tahoma"/>
          <w:bCs/>
          <w:sz w:val="20"/>
          <w:szCs w:val="20"/>
        </w:rPr>
      </w:pPr>
      <w:r w:rsidRPr="00241D40">
        <w:rPr>
          <w:rFonts w:ascii="Tahoma" w:hAnsi="Tahoma" w:cs="Tahoma"/>
          <w:bCs/>
          <w:sz w:val="20"/>
          <w:szCs w:val="20"/>
        </w:rPr>
        <w:t xml:space="preserve">Buying shares on the primary market is unusual as </w:t>
      </w:r>
      <w:r w:rsidR="0053204E" w:rsidRPr="00241D40">
        <w:rPr>
          <w:rFonts w:ascii="Tahoma" w:hAnsi="Tahoma" w:cs="Tahoma"/>
          <w:bCs/>
          <w:sz w:val="20"/>
          <w:szCs w:val="20"/>
        </w:rPr>
        <w:t xml:space="preserve">new </w:t>
      </w:r>
      <w:r w:rsidRPr="00241D40">
        <w:rPr>
          <w:rFonts w:ascii="Tahoma" w:hAnsi="Tahoma" w:cs="Tahoma"/>
          <w:bCs/>
          <w:sz w:val="20"/>
          <w:szCs w:val="20"/>
        </w:rPr>
        <w:t>shares are not released</w:t>
      </w:r>
      <w:r w:rsidR="0053204E" w:rsidRPr="00241D40">
        <w:rPr>
          <w:rFonts w:ascii="Tahoma" w:hAnsi="Tahoma" w:cs="Tahoma"/>
          <w:bCs/>
          <w:sz w:val="20"/>
          <w:szCs w:val="20"/>
        </w:rPr>
        <w:t xml:space="preserve"> often</w:t>
      </w:r>
      <w:r w:rsidRPr="00241D40">
        <w:rPr>
          <w:rFonts w:ascii="Tahoma" w:hAnsi="Tahoma" w:cs="Tahoma"/>
          <w:bCs/>
          <w:sz w:val="20"/>
          <w:szCs w:val="20"/>
        </w:rPr>
        <w:t xml:space="preserve"> </w:t>
      </w:r>
      <w:r w:rsidR="00B7229B" w:rsidRPr="00241D40">
        <w:rPr>
          <w:rFonts w:ascii="Tahoma" w:hAnsi="Tahoma" w:cs="Tahoma"/>
          <w:bCs/>
          <w:sz w:val="20"/>
          <w:szCs w:val="20"/>
        </w:rPr>
        <w:t>so the majority of sales are secondary whereby the original issuer does not receive any money.</w:t>
      </w:r>
    </w:p>
    <w:p w:rsidR="00820C71" w:rsidRPr="00241D40" w:rsidRDefault="00AF5DB4" w:rsidP="00820C71">
      <w:pPr>
        <w:rPr>
          <w:rFonts w:ascii="Tahoma" w:hAnsi="Tahoma" w:cs="Tahoma"/>
          <w:b/>
          <w:sz w:val="20"/>
          <w:szCs w:val="20"/>
        </w:rPr>
      </w:pPr>
      <w:r w:rsidRPr="00241D40">
        <w:rPr>
          <w:rFonts w:ascii="Tahoma" w:hAnsi="Tahoma" w:cs="Tahoma"/>
          <w:b/>
          <w:sz w:val="20"/>
          <w:szCs w:val="20"/>
        </w:rPr>
        <w:t xml:space="preserve">Example: </w:t>
      </w:r>
      <w:r w:rsidR="00820C71" w:rsidRPr="00241D40">
        <w:rPr>
          <w:rFonts w:ascii="Tahoma" w:hAnsi="Tahoma" w:cs="Tahoma"/>
          <w:b/>
          <w:sz w:val="20"/>
          <w:szCs w:val="20"/>
        </w:rPr>
        <w:t>How does that work?</w:t>
      </w:r>
    </w:p>
    <w:p w:rsidR="00820C71" w:rsidRPr="00241D40" w:rsidRDefault="00820C71" w:rsidP="00820C71">
      <w:pPr>
        <w:rPr>
          <w:rFonts w:ascii="Tahoma" w:hAnsi="Tahoma" w:cs="Tahoma"/>
          <w:sz w:val="20"/>
          <w:szCs w:val="20"/>
        </w:rPr>
      </w:pPr>
      <w:r w:rsidRPr="00241D40">
        <w:rPr>
          <w:rFonts w:ascii="Tahoma" w:hAnsi="Tahoma" w:cs="Tahoma"/>
          <w:sz w:val="20"/>
          <w:szCs w:val="20"/>
        </w:rPr>
        <w:t>A fossil fuel company puts 1 million shares on the primary market (where you buy direct from the company) which are bought by a bank. The company make £5</w:t>
      </w:r>
      <w:r w:rsidR="00AF5DB4" w:rsidRPr="00241D40">
        <w:rPr>
          <w:rFonts w:ascii="Tahoma" w:hAnsi="Tahoma" w:cs="Tahoma"/>
          <w:sz w:val="20"/>
          <w:szCs w:val="20"/>
        </w:rPr>
        <w:t>0</w:t>
      </w:r>
      <w:r w:rsidRPr="00241D40">
        <w:rPr>
          <w:rFonts w:ascii="Tahoma" w:hAnsi="Tahoma" w:cs="Tahoma"/>
          <w:sz w:val="20"/>
          <w:szCs w:val="20"/>
        </w:rPr>
        <w:t>0 million on the sale and goes and builds a</w:t>
      </w:r>
      <w:r w:rsidR="00AF5DB4" w:rsidRPr="00241D40">
        <w:rPr>
          <w:rFonts w:ascii="Tahoma" w:hAnsi="Tahoma" w:cs="Tahoma"/>
          <w:sz w:val="20"/>
          <w:szCs w:val="20"/>
        </w:rPr>
        <w:t>n oil</w:t>
      </w:r>
      <w:r w:rsidRPr="00241D40">
        <w:rPr>
          <w:rFonts w:ascii="Tahoma" w:hAnsi="Tahoma" w:cs="Tahoma"/>
          <w:sz w:val="20"/>
          <w:szCs w:val="20"/>
        </w:rPr>
        <w:t xml:space="preserve"> pipeline with the money (shares sales to raise capital). </w:t>
      </w:r>
    </w:p>
    <w:p w:rsidR="00820C71" w:rsidRPr="00241D40" w:rsidRDefault="00E047B6" w:rsidP="00820C71">
      <w:pPr>
        <w:rPr>
          <w:rFonts w:ascii="Tahoma" w:hAnsi="Tahoma" w:cs="Tahoma"/>
          <w:sz w:val="20"/>
          <w:szCs w:val="20"/>
        </w:rPr>
      </w:pPr>
      <w:r>
        <w:rPr>
          <w:rFonts w:ascii="Tahoma" w:hAnsi="Tahoma" w:cs="Tahoma"/>
          <w:sz w:val="20"/>
          <w:szCs w:val="20"/>
        </w:rPr>
        <w:t>A year later the bank then decide they don’t want the shares and sell them. A university buys them and pays the bank for them. (Secondary sale). The fossil fuel company gets nothing in this sale.</w:t>
      </w:r>
    </w:p>
    <w:p w:rsidR="00820C71" w:rsidRPr="00241D40" w:rsidRDefault="00E047B6" w:rsidP="00820C71">
      <w:pPr>
        <w:rPr>
          <w:rFonts w:ascii="Tahoma" w:hAnsi="Tahoma" w:cs="Tahoma"/>
          <w:sz w:val="20"/>
          <w:szCs w:val="20"/>
        </w:rPr>
      </w:pPr>
      <w:r>
        <w:rPr>
          <w:rFonts w:ascii="Tahoma" w:hAnsi="Tahoma" w:cs="Tahoma"/>
          <w:sz w:val="20"/>
          <w:szCs w:val="20"/>
        </w:rPr>
        <w:t xml:space="preserve">The university now own 1 million shares in the fossil fuel company but hasn’t given them any money. However, they are taking money from the company in the form of dividends and may be criticised for supporting their operations. The bank who did finance them directly have now divested and so are praised (despite primarily funding them in the first place). </w:t>
      </w:r>
    </w:p>
    <w:p w:rsidR="00820C71" w:rsidRPr="00241D40" w:rsidRDefault="00820C71" w:rsidP="00F96486">
      <w:pPr>
        <w:rPr>
          <w:rFonts w:ascii="Tahoma" w:hAnsi="Tahoma" w:cs="Tahoma"/>
          <w:sz w:val="20"/>
          <w:szCs w:val="20"/>
        </w:rPr>
      </w:pPr>
      <w:r w:rsidRPr="00241D40">
        <w:rPr>
          <w:rFonts w:ascii="Tahoma" w:hAnsi="Tahoma" w:cs="Tahoma"/>
          <w:sz w:val="20"/>
          <w:szCs w:val="20"/>
        </w:rPr>
        <w:t>This leads to the argument that responsible institutions should hold the shares and affect the company from within by voting, calling for change and blocking proposals. This is the way</w:t>
      </w:r>
      <w:r w:rsidR="00E047B6">
        <w:rPr>
          <w:rFonts w:ascii="Tahoma" w:hAnsi="Tahoma" w:cs="Tahoma"/>
          <w:sz w:val="20"/>
          <w:szCs w:val="20"/>
        </w:rPr>
        <w:t xml:space="preserve"> some activist groups like </w:t>
      </w:r>
      <w:hyperlink r:id="rId8" w:history="1">
        <w:r w:rsidR="003676F4" w:rsidRPr="00241D40">
          <w:rPr>
            <w:rStyle w:val="Hyperlink"/>
            <w:rFonts w:ascii="Tahoma" w:hAnsi="Tahoma" w:cs="Tahoma"/>
            <w:sz w:val="20"/>
            <w:szCs w:val="20"/>
          </w:rPr>
          <w:t>Greenpeace</w:t>
        </w:r>
      </w:hyperlink>
      <w:r w:rsidR="003676F4" w:rsidRPr="00241D40">
        <w:rPr>
          <w:rFonts w:ascii="Tahoma" w:hAnsi="Tahoma" w:cs="Tahoma"/>
          <w:sz w:val="20"/>
          <w:szCs w:val="20"/>
        </w:rPr>
        <w:t xml:space="preserve"> operate</w:t>
      </w:r>
      <w:r w:rsidR="00B570F8" w:rsidRPr="00241D40">
        <w:rPr>
          <w:rFonts w:ascii="Tahoma" w:hAnsi="Tahoma" w:cs="Tahoma"/>
          <w:sz w:val="20"/>
          <w:szCs w:val="20"/>
        </w:rPr>
        <w:t xml:space="preserve">. </w:t>
      </w:r>
      <w:r w:rsidRPr="00241D40">
        <w:rPr>
          <w:rFonts w:ascii="Tahoma" w:hAnsi="Tahoma" w:cs="Tahoma"/>
          <w:sz w:val="20"/>
          <w:szCs w:val="20"/>
        </w:rPr>
        <w:t xml:space="preserve">If this is what you choose to do you should be very </w:t>
      </w:r>
      <w:r w:rsidR="00AF5DB4" w:rsidRPr="00241D40">
        <w:rPr>
          <w:rFonts w:ascii="Tahoma" w:hAnsi="Tahoma" w:cs="Tahoma"/>
          <w:sz w:val="20"/>
          <w:szCs w:val="20"/>
        </w:rPr>
        <w:t>open</w:t>
      </w:r>
      <w:r w:rsidRPr="00241D40">
        <w:rPr>
          <w:rFonts w:ascii="Tahoma" w:hAnsi="Tahoma" w:cs="Tahoma"/>
          <w:sz w:val="20"/>
          <w:szCs w:val="20"/>
        </w:rPr>
        <w:t xml:space="preserve"> about it and be sure to </w:t>
      </w:r>
      <w:r w:rsidR="00B80A59" w:rsidRPr="00241D40">
        <w:rPr>
          <w:rFonts w:ascii="Tahoma" w:hAnsi="Tahoma" w:cs="Tahoma"/>
          <w:sz w:val="20"/>
          <w:szCs w:val="20"/>
        </w:rPr>
        <w:t xml:space="preserve">actively </w:t>
      </w:r>
      <w:r w:rsidRPr="00842265">
        <w:rPr>
          <w:rFonts w:ascii="Tahoma" w:hAnsi="Tahoma" w:cs="Tahoma"/>
          <w:sz w:val="20"/>
          <w:szCs w:val="20"/>
        </w:rPr>
        <w:t>use your influence</w:t>
      </w:r>
      <w:r w:rsidR="00E047B6">
        <w:rPr>
          <w:rFonts w:ascii="Tahoma" w:hAnsi="Tahoma" w:cs="Tahoma"/>
          <w:sz w:val="20"/>
          <w:szCs w:val="20"/>
        </w:rPr>
        <w:t xml:space="preserve"> to affect change and call for improvements.</w:t>
      </w:r>
    </w:p>
    <w:p w:rsidR="00BB197D" w:rsidRPr="00241D40" w:rsidRDefault="00E047B6" w:rsidP="00F96486">
      <w:pPr>
        <w:rPr>
          <w:rFonts w:ascii="Tahoma" w:hAnsi="Tahoma" w:cs="Tahoma"/>
          <w:b/>
          <w:sz w:val="20"/>
          <w:szCs w:val="20"/>
        </w:rPr>
      </w:pPr>
      <w:r>
        <w:rPr>
          <w:rFonts w:ascii="Tahoma" w:hAnsi="Tahoma" w:cs="Tahoma"/>
          <w:b/>
          <w:sz w:val="20"/>
          <w:szCs w:val="20"/>
        </w:rPr>
        <w:lastRenderedPageBreak/>
        <w:t>Economic Impact</w:t>
      </w:r>
    </w:p>
    <w:p w:rsidR="00820C71" w:rsidRPr="00241D40" w:rsidRDefault="00A2256C" w:rsidP="00F96486">
      <w:pPr>
        <w:rPr>
          <w:rFonts w:ascii="Tahoma" w:hAnsi="Tahoma" w:cs="Tahoma"/>
          <w:sz w:val="20"/>
          <w:szCs w:val="20"/>
        </w:rPr>
      </w:pPr>
      <w:r w:rsidRPr="00241D40">
        <w:rPr>
          <w:rFonts w:ascii="Tahoma" w:hAnsi="Tahoma" w:cs="Tahoma"/>
          <w:sz w:val="20"/>
          <w:szCs w:val="20"/>
        </w:rPr>
        <w:t>Whilst d</w:t>
      </w:r>
      <w:r w:rsidR="00F96486" w:rsidRPr="00241D40">
        <w:rPr>
          <w:rFonts w:ascii="Tahoma" w:hAnsi="Tahoma" w:cs="Tahoma"/>
          <w:sz w:val="20"/>
          <w:szCs w:val="20"/>
        </w:rPr>
        <w:t>ivestment can have an economic impact in lowering the share price</w:t>
      </w:r>
      <w:r w:rsidR="00820C71" w:rsidRPr="00241D40">
        <w:rPr>
          <w:rFonts w:ascii="Tahoma" w:hAnsi="Tahoma" w:cs="Tahoma"/>
          <w:sz w:val="20"/>
          <w:szCs w:val="20"/>
        </w:rPr>
        <w:t xml:space="preserve"> </w:t>
      </w:r>
      <w:r w:rsidR="00F96486" w:rsidRPr="00241D40">
        <w:rPr>
          <w:rFonts w:ascii="Tahoma" w:hAnsi="Tahoma" w:cs="Tahoma"/>
          <w:sz w:val="20"/>
          <w:szCs w:val="20"/>
        </w:rPr>
        <w:t xml:space="preserve">it is extremely small </w:t>
      </w:r>
      <w:r w:rsidR="00820C71" w:rsidRPr="00241D40">
        <w:rPr>
          <w:rFonts w:ascii="Tahoma" w:hAnsi="Tahoma" w:cs="Tahoma"/>
          <w:sz w:val="20"/>
          <w:szCs w:val="20"/>
        </w:rPr>
        <w:t>or non</w:t>
      </w:r>
      <w:r w:rsidR="003676F4" w:rsidRPr="00241D40">
        <w:rPr>
          <w:rFonts w:ascii="Tahoma" w:hAnsi="Tahoma" w:cs="Tahoma"/>
          <w:sz w:val="20"/>
          <w:szCs w:val="20"/>
        </w:rPr>
        <w:t>-</w:t>
      </w:r>
      <w:r w:rsidR="00820C71" w:rsidRPr="00241D40">
        <w:rPr>
          <w:rFonts w:ascii="Tahoma" w:hAnsi="Tahoma" w:cs="Tahoma"/>
          <w:sz w:val="20"/>
          <w:szCs w:val="20"/>
        </w:rPr>
        <w:t>existent in</w:t>
      </w:r>
      <w:r w:rsidR="00F96486" w:rsidRPr="00241D40">
        <w:rPr>
          <w:rFonts w:ascii="Tahoma" w:hAnsi="Tahoma" w:cs="Tahoma"/>
          <w:sz w:val="20"/>
          <w:szCs w:val="20"/>
        </w:rPr>
        <w:t xml:space="preserve"> most cases</w:t>
      </w:r>
      <w:r w:rsidR="00820C71" w:rsidRPr="00241D40">
        <w:rPr>
          <w:rFonts w:ascii="Tahoma" w:hAnsi="Tahoma" w:cs="Tahoma"/>
          <w:sz w:val="20"/>
          <w:szCs w:val="20"/>
        </w:rPr>
        <w:t xml:space="preserve">. </w:t>
      </w:r>
      <w:r w:rsidR="00162A05" w:rsidRPr="00241D40">
        <w:rPr>
          <w:rFonts w:ascii="Tahoma" w:hAnsi="Tahoma" w:cs="Tahoma"/>
          <w:sz w:val="20"/>
          <w:szCs w:val="20"/>
        </w:rPr>
        <w:t>In addition, selling</w:t>
      </w:r>
      <w:r w:rsidR="00B7229B" w:rsidRPr="00241D40">
        <w:rPr>
          <w:rFonts w:ascii="Tahoma" w:hAnsi="Tahoma" w:cs="Tahoma"/>
          <w:sz w:val="20"/>
          <w:szCs w:val="20"/>
        </w:rPr>
        <w:t xml:space="preserve"> shares with the intent of lowering the price or damaging the company would be illegal</w:t>
      </w:r>
      <w:r w:rsidR="00820C71" w:rsidRPr="00241D40">
        <w:rPr>
          <w:rFonts w:ascii="Tahoma" w:hAnsi="Tahoma" w:cs="Tahoma"/>
          <w:sz w:val="20"/>
          <w:szCs w:val="20"/>
        </w:rPr>
        <w:t>.</w:t>
      </w:r>
      <w:r w:rsidRPr="00241D40">
        <w:rPr>
          <w:rFonts w:ascii="Tahoma" w:hAnsi="Tahoma" w:cs="Tahoma"/>
          <w:sz w:val="20"/>
          <w:szCs w:val="20"/>
        </w:rPr>
        <w:t xml:space="preserve"> </w:t>
      </w:r>
      <w:r w:rsidR="00820C71" w:rsidRPr="00241D40">
        <w:rPr>
          <w:rFonts w:ascii="Tahoma" w:hAnsi="Tahoma" w:cs="Tahoma"/>
          <w:sz w:val="20"/>
          <w:szCs w:val="20"/>
        </w:rPr>
        <w:t>A</w:t>
      </w:r>
      <w:r w:rsidRPr="00241D40">
        <w:rPr>
          <w:rFonts w:ascii="Tahoma" w:hAnsi="Tahoma" w:cs="Tahoma"/>
          <w:sz w:val="20"/>
          <w:szCs w:val="20"/>
        </w:rPr>
        <w:t xml:space="preserve"> quick sell off may also result in a huge loss for the seller if market conditions are not good</w:t>
      </w:r>
      <w:r w:rsidR="00820C71" w:rsidRPr="00241D40">
        <w:rPr>
          <w:rFonts w:ascii="Tahoma" w:hAnsi="Tahoma" w:cs="Tahoma"/>
          <w:sz w:val="20"/>
          <w:szCs w:val="20"/>
        </w:rPr>
        <w:t xml:space="preserve"> which is why divestment can take several years</w:t>
      </w:r>
      <w:r w:rsidR="00B7229B" w:rsidRPr="00241D40">
        <w:rPr>
          <w:rFonts w:ascii="Tahoma" w:hAnsi="Tahoma" w:cs="Tahoma"/>
          <w:sz w:val="20"/>
          <w:szCs w:val="20"/>
        </w:rPr>
        <w:t xml:space="preserve">. </w:t>
      </w:r>
    </w:p>
    <w:p w:rsidR="00B7229B" w:rsidRPr="00842265" w:rsidRDefault="00922C89" w:rsidP="00F96486">
      <w:pPr>
        <w:rPr>
          <w:rFonts w:ascii="Tahoma" w:hAnsi="Tahoma" w:cs="Tahoma"/>
          <w:sz w:val="20"/>
          <w:szCs w:val="20"/>
        </w:rPr>
      </w:pPr>
      <w:r w:rsidRPr="00241D40">
        <w:rPr>
          <w:rFonts w:ascii="Tahoma" w:hAnsi="Tahoma" w:cs="Tahoma"/>
          <w:noProof/>
          <w:sz w:val="20"/>
          <w:szCs w:val="20"/>
          <w:lang w:val="en-GB" w:eastAsia="en-GB"/>
        </w:rPr>
        <w:drawing>
          <wp:anchor distT="0" distB="0" distL="114300" distR="114300" simplePos="0" relativeHeight="251657216" behindDoc="1" locked="0" layoutInCell="1" allowOverlap="1">
            <wp:simplePos x="0" y="0"/>
            <wp:positionH relativeFrom="page">
              <wp:posOffset>4263390</wp:posOffset>
            </wp:positionH>
            <wp:positionV relativeFrom="paragraph">
              <wp:posOffset>43180</wp:posOffset>
            </wp:positionV>
            <wp:extent cx="3113405" cy="4801870"/>
            <wp:effectExtent l="0" t="0" r="0" b="0"/>
            <wp:wrapTight wrapText="bothSides">
              <wp:wrapPolygon edited="0">
                <wp:start x="0" y="0"/>
                <wp:lineTo x="0" y="21537"/>
                <wp:lineTo x="21499" y="21537"/>
                <wp:lineTo x="2149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40693" t="17730" r="39548" b="15543"/>
                    <a:stretch/>
                  </pic:blipFill>
                  <pic:spPr bwMode="auto">
                    <a:xfrm>
                      <a:off x="0" y="0"/>
                      <a:ext cx="3113405" cy="480187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4972E2" w:rsidRPr="00241D40">
        <w:rPr>
          <w:rFonts w:ascii="Tahoma" w:hAnsi="Tahoma" w:cs="Tahoma"/>
          <w:sz w:val="20"/>
          <w:szCs w:val="20"/>
        </w:rPr>
        <w:t>L</w:t>
      </w:r>
      <w:r w:rsidR="00596604" w:rsidRPr="00241D40">
        <w:rPr>
          <w:rFonts w:ascii="Tahoma" w:hAnsi="Tahoma" w:cs="Tahoma"/>
          <w:sz w:val="20"/>
          <w:szCs w:val="20"/>
        </w:rPr>
        <w:t xml:space="preserve">ower prices </w:t>
      </w:r>
      <w:r w:rsidR="004972E2" w:rsidRPr="00241D40">
        <w:rPr>
          <w:rFonts w:ascii="Tahoma" w:hAnsi="Tahoma" w:cs="Tahoma"/>
          <w:sz w:val="20"/>
          <w:szCs w:val="20"/>
        </w:rPr>
        <w:t xml:space="preserve">would </w:t>
      </w:r>
      <w:r w:rsidR="00574F66" w:rsidRPr="00241D40">
        <w:rPr>
          <w:rFonts w:ascii="Tahoma" w:hAnsi="Tahoma" w:cs="Tahoma"/>
          <w:sz w:val="20"/>
          <w:szCs w:val="20"/>
        </w:rPr>
        <w:t xml:space="preserve">also </w:t>
      </w:r>
      <w:r w:rsidR="00596604" w:rsidRPr="00241D40">
        <w:rPr>
          <w:rFonts w:ascii="Tahoma" w:hAnsi="Tahoma" w:cs="Tahoma"/>
          <w:sz w:val="20"/>
          <w:szCs w:val="20"/>
        </w:rPr>
        <w:t xml:space="preserve">mean other investors will buy shares as the share price is not related to the company assets or fundamentals, e.g if the share price </w:t>
      </w:r>
      <w:r w:rsidR="007E25B1" w:rsidRPr="00241D40">
        <w:rPr>
          <w:rFonts w:ascii="Tahoma" w:hAnsi="Tahoma" w:cs="Tahoma"/>
          <w:sz w:val="20"/>
          <w:szCs w:val="20"/>
        </w:rPr>
        <w:t>drops</w:t>
      </w:r>
      <w:r w:rsidR="00596604" w:rsidRPr="00241D40">
        <w:rPr>
          <w:rFonts w:ascii="Tahoma" w:hAnsi="Tahoma" w:cs="Tahoma"/>
          <w:sz w:val="20"/>
          <w:szCs w:val="20"/>
        </w:rPr>
        <w:t xml:space="preserve"> it doesn’t </w:t>
      </w:r>
      <w:r w:rsidR="004972E2" w:rsidRPr="00241D40">
        <w:rPr>
          <w:rFonts w:ascii="Tahoma" w:hAnsi="Tahoma" w:cs="Tahoma"/>
          <w:sz w:val="20"/>
          <w:szCs w:val="20"/>
        </w:rPr>
        <w:t xml:space="preserve">necessarily </w:t>
      </w:r>
      <w:r w:rsidR="00596604" w:rsidRPr="00842265">
        <w:rPr>
          <w:rFonts w:ascii="Tahoma" w:hAnsi="Tahoma" w:cs="Tahoma"/>
          <w:sz w:val="20"/>
          <w:szCs w:val="20"/>
        </w:rPr>
        <w:t>affect what the company owns</w:t>
      </w:r>
      <w:r w:rsidR="004972E2" w:rsidRPr="00842265">
        <w:rPr>
          <w:rFonts w:ascii="Tahoma" w:hAnsi="Tahoma" w:cs="Tahoma"/>
          <w:sz w:val="20"/>
          <w:szCs w:val="20"/>
        </w:rPr>
        <w:t xml:space="preserve"> or </w:t>
      </w:r>
      <w:r w:rsidR="00596604" w:rsidRPr="00842265">
        <w:rPr>
          <w:rFonts w:ascii="Tahoma" w:hAnsi="Tahoma" w:cs="Tahoma"/>
          <w:sz w:val="20"/>
          <w:szCs w:val="20"/>
        </w:rPr>
        <w:t>how it operates.</w:t>
      </w:r>
      <w:r w:rsidR="007E25B1" w:rsidRPr="00842265">
        <w:rPr>
          <w:rFonts w:ascii="Tahoma" w:hAnsi="Tahoma" w:cs="Tahoma"/>
          <w:sz w:val="20"/>
          <w:szCs w:val="20"/>
        </w:rPr>
        <w:t xml:space="preserve"> </w:t>
      </w:r>
    </w:p>
    <w:p w:rsidR="00B5612F" w:rsidRDefault="00E047B6" w:rsidP="00F96486">
      <w:pPr>
        <w:rPr>
          <w:rFonts w:ascii="Tahoma" w:hAnsi="Tahoma" w:cs="Tahoma"/>
          <w:sz w:val="20"/>
          <w:szCs w:val="20"/>
        </w:rPr>
      </w:pPr>
      <w:r>
        <w:rPr>
          <w:rFonts w:ascii="Tahoma" w:hAnsi="Tahoma" w:cs="Tahoma"/>
          <w:sz w:val="20"/>
          <w:szCs w:val="20"/>
        </w:rPr>
        <w:t xml:space="preserve">For industries like fossil fuels there are good economic arguments for divesting to prevent </w:t>
      </w:r>
      <w:r w:rsidR="003C1E6F">
        <w:rPr>
          <w:rFonts w:ascii="Tahoma" w:hAnsi="Tahoma" w:cs="Tahoma"/>
          <w:sz w:val="20"/>
          <w:szCs w:val="20"/>
        </w:rPr>
        <w:t xml:space="preserve"> “</w:t>
      </w:r>
      <w:hyperlink r:id="rId10" w:history="1">
        <w:r w:rsidR="003C1E6F" w:rsidRPr="00A704A0">
          <w:rPr>
            <w:rStyle w:val="Hyperlink"/>
            <w:rFonts w:ascii="Tahoma" w:hAnsi="Tahoma" w:cs="Tahoma"/>
          </w:rPr>
          <w:t>stranded assets</w:t>
        </w:r>
      </w:hyperlink>
      <w:r w:rsidR="003C1E6F">
        <w:rPr>
          <w:rFonts w:ascii="Tahoma" w:hAnsi="Tahoma" w:cs="Tahoma"/>
          <w:sz w:val="20"/>
          <w:szCs w:val="20"/>
        </w:rPr>
        <w:t>”</w:t>
      </w:r>
      <w:r w:rsidR="00B5612F" w:rsidRPr="00241D40">
        <w:rPr>
          <w:rFonts w:ascii="Tahoma" w:hAnsi="Tahoma" w:cs="Tahoma"/>
          <w:sz w:val="20"/>
          <w:szCs w:val="20"/>
        </w:rPr>
        <w:t xml:space="preserve"> </w:t>
      </w:r>
      <w:r w:rsidR="001C0E68">
        <w:rPr>
          <w:rFonts w:ascii="Tahoma" w:hAnsi="Tahoma" w:cs="Tahoma"/>
          <w:sz w:val="20"/>
          <w:szCs w:val="20"/>
        </w:rPr>
        <w:t>f</w:t>
      </w:r>
      <w:r w:rsidR="00B5612F" w:rsidRPr="00241D40">
        <w:rPr>
          <w:rFonts w:ascii="Tahoma" w:hAnsi="Tahoma" w:cs="Tahoma"/>
          <w:sz w:val="20"/>
          <w:szCs w:val="20"/>
        </w:rPr>
        <w:t xml:space="preserve">or example </w:t>
      </w:r>
      <w:r w:rsidR="002356E9" w:rsidRPr="00241D40">
        <w:rPr>
          <w:rFonts w:ascii="Tahoma" w:hAnsi="Tahoma" w:cs="Tahoma"/>
          <w:sz w:val="20"/>
          <w:szCs w:val="20"/>
        </w:rPr>
        <w:t>owning shares</w:t>
      </w:r>
      <w:r w:rsidR="00B5612F" w:rsidRPr="00842265">
        <w:rPr>
          <w:rFonts w:ascii="Tahoma" w:hAnsi="Tahoma" w:cs="Tahoma"/>
          <w:sz w:val="20"/>
          <w:szCs w:val="20"/>
        </w:rPr>
        <w:t xml:space="preserve"> in a coal </w:t>
      </w:r>
      <w:r w:rsidR="002356E9" w:rsidRPr="00842265">
        <w:rPr>
          <w:rFonts w:ascii="Tahoma" w:hAnsi="Tahoma" w:cs="Tahoma"/>
          <w:sz w:val="20"/>
          <w:szCs w:val="20"/>
        </w:rPr>
        <w:t>mine</w:t>
      </w:r>
      <w:r w:rsidR="00B5612F" w:rsidRPr="00842265">
        <w:rPr>
          <w:rFonts w:ascii="Tahoma" w:hAnsi="Tahoma" w:cs="Tahoma"/>
          <w:sz w:val="20"/>
          <w:szCs w:val="20"/>
        </w:rPr>
        <w:t xml:space="preserve"> when there is no demand for coal and no one to buy your shares from yo</w:t>
      </w:r>
      <w:r>
        <w:rPr>
          <w:rFonts w:ascii="Tahoma" w:hAnsi="Tahoma" w:cs="Tahoma"/>
          <w:sz w:val="20"/>
          <w:szCs w:val="20"/>
        </w:rPr>
        <w:t>u meaning you lose your money.</w:t>
      </w:r>
    </w:p>
    <w:p w:rsidR="0006292B" w:rsidRPr="00922C89" w:rsidRDefault="0006292B" w:rsidP="00F96486">
      <w:pPr>
        <w:rPr>
          <w:rFonts w:ascii="Tahoma" w:hAnsi="Tahoma" w:cs="Tahoma"/>
          <w:sz w:val="10"/>
          <w:szCs w:val="10"/>
        </w:rPr>
      </w:pPr>
    </w:p>
    <w:p w:rsidR="00BF166F" w:rsidRPr="00241D40" w:rsidRDefault="00E047B6" w:rsidP="00F96486">
      <w:pPr>
        <w:rPr>
          <w:rFonts w:ascii="Tahoma" w:hAnsi="Tahoma" w:cs="Tahoma"/>
          <w:b/>
          <w:bCs/>
          <w:sz w:val="20"/>
          <w:szCs w:val="20"/>
        </w:rPr>
      </w:pPr>
      <w:r>
        <w:rPr>
          <w:rFonts w:ascii="Tahoma" w:hAnsi="Tahoma" w:cs="Tahoma"/>
          <w:b/>
          <w:bCs/>
          <w:sz w:val="20"/>
          <w:szCs w:val="20"/>
        </w:rPr>
        <w:t>Why is it contentious?</w:t>
      </w:r>
    </w:p>
    <w:p w:rsidR="00CA6038" w:rsidRPr="00241D40" w:rsidRDefault="002356E9" w:rsidP="00F96486">
      <w:pPr>
        <w:rPr>
          <w:rFonts w:ascii="Tahoma" w:hAnsi="Tahoma" w:cs="Tahoma"/>
          <w:sz w:val="20"/>
          <w:szCs w:val="20"/>
        </w:rPr>
      </w:pPr>
      <w:r w:rsidRPr="00241D40">
        <w:rPr>
          <w:rFonts w:ascii="Tahoma" w:hAnsi="Tahoma" w:cs="Tahoma"/>
          <w:sz w:val="20"/>
          <w:szCs w:val="20"/>
        </w:rPr>
        <w:t>V</w:t>
      </w:r>
      <w:r w:rsidR="0082288E" w:rsidRPr="00241D40">
        <w:rPr>
          <w:rFonts w:ascii="Tahoma" w:hAnsi="Tahoma" w:cs="Tahoma"/>
          <w:sz w:val="20"/>
          <w:szCs w:val="20"/>
        </w:rPr>
        <w:t>ery few</w:t>
      </w:r>
      <w:r w:rsidR="00664E85" w:rsidRPr="00842265">
        <w:rPr>
          <w:rFonts w:ascii="Tahoma" w:hAnsi="Tahoma" w:cs="Tahoma"/>
          <w:sz w:val="20"/>
          <w:szCs w:val="20"/>
        </w:rPr>
        <w:t xml:space="preserve"> fossil fuel companies are on the stock market, only 10% of the </w:t>
      </w:r>
      <w:r w:rsidR="00E047B6">
        <w:rPr>
          <w:rFonts w:ascii="Tahoma" w:hAnsi="Tahoma" w:cs="Tahoma"/>
          <w:sz w:val="20"/>
          <w:szCs w:val="20"/>
        </w:rPr>
        <w:t xml:space="preserve">world’s oil comes from Independent Oil Companies (e.g. BP, Shell). The other 90% are from National Oil Companies (see Figure 1). Currently Independent Oil Companies (IOC) face far higher scrutiny and environmental targets than National Oil Companies (NOC) who often have very low standards. As a result the </w:t>
      </w:r>
      <w:hyperlink r:id="rId11" w:history="1">
        <w:r w:rsidR="00BF166F" w:rsidRPr="00241D40">
          <w:rPr>
            <w:rStyle w:val="Hyperlink"/>
            <w:rFonts w:ascii="Tahoma" w:hAnsi="Tahoma" w:cs="Tahoma"/>
            <w:sz w:val="20"/>
            <w:szCs w:val="20"/>
          </w:rPr>
          <w:t xml:space="preserve">pollution per </w:t>
        </w:r>
        <w:r w:rsidR="008D75AB" w:rsidRPr="00241D40">
          <w:rPr>
            <w:rStyle w:val="Hyperlink"/>
            <w:rFonts w:ascii="Tahoma" w:hAnsi="Tahoma" w:cs="Tahoma"/>
            <w:sz w:val="20"/>
            <w:szCs w:val="20"/>
          </w:rPr>
          <w:t>unit of fuel</w:t>
        </w:r>
        <w:r w:rsidR="00541961" w:rsidRPr="00241D40">
          <w:rPr>
            <w:rStyle w:val="Hyperlink"/>
            <w:rFonts w:ascii="Tahoma" w:hAnsi="Tahoma" w:cs="Tahoma"/>
            <w:sz w:val="20"/>
            <w:szCs w:val="20"/>
          </w:rPr>
          <w:t xml:space="preserve"> </w:t>
        </w:r>
        <w:r w:rsidR="00BF166F" w:rsidRPr="00241D40">
          <w:rPr>
            <w:rStyle w:val="Hyperlink"/>
            <w:rFonts w:ascii="Tahoma" w:hAnsi="Tahoma" w:cs="Tahoma"/>
            <w:sz w:val="20"/>
            <w:szCs w:val="20"/>
          </w:rPr>
          <w:t>from an NOC</w:t>
        </w:r>
      </w:hyperlink>
      <w:r w:rsidR="00BF166F" w:rsidRPr="00241D40">
        <w:rPr>
          <w:rFonts w:ascii="Tahoma" w:hAnsi="Tahoma" w:cs="Tahoma"/>
          <w:sz w:val="20"/>
          <w:szCs w:val="20"/>
        </w:rPr>
        <w:t xml:space="preserve"> is higher than from an IOC. </w:t>
      </w:r>
      <w:r w:rsidR="006D5266" w:rsidRPr="00241D40">
        <w:rPr>
          <w:rFonts w:ascii="Tahoma" w:hAnsi="Tahoma" w:cs="Tahoma"/>
          <w:sz w:val="20"/>
          <w:szCs w:val="20"/>
        </w:rPr>
        <w:t>Some argue that if</w:t>
      </w:r>
      <w:r w:rsidR="00BF166F" w:rsidRPr="00842265">
        <w:rPr>
          <w:rFonts w:ascii="Tahoma" w:hAnsi="Tahoma" w:cs="Tahoma"/>
          <w:sz w:val="20"/>
          <w:szCs w:val="20"/>
        </w:rPr>
        <w:t xml:space="preserve"> divestment forces IOCs to diminish it will result in them ceding market share to NOCs</w:t>
      </w:r>
      <w:r w:rsidR="00E047B6">
        <w:rPr>
          <w:rFonts w:ascii="Tahoma" w:hAnsi="Tahoma" w:cs="Tahoma"/>
          <w:sz w:val="20"/>
          <w:szCs w:val="20"/>
        </w:rPr>
        <w:t xml:space="preserve">, </w:t>
      </w:r>
      <w:hyperlink r:id="rId12" w:history="1">
        <w:r w:rsidR="004972E2" w:rsidRPr="00241D40">
          <w:rPr>
            <w:rStyle w:val="Hyperlink"/>
            <w:rFonts w:ascii="Tahoma" w:hAnsi="Tahoma" w:cs="Tahoma"/>
            <w:sz w:val="20"/>
            <w:szCs w:val="20"/>
          </w:rPr>
          <w:t>potentially</w:t>
        </w:r>
        <w:r w:rsidR="00BF166F" w:rsidRPr="00241D40">
          <w:rPr>
            <w:rStyle w:val="Hyperlink"/>
            <w:rFonts w:ascii="Tahoma" w:hAnsi="Tahoma" w:cs="Tahoma"/>
            <w:sz w:val="20"/>
            <w:szCs w:val="20"/>
          </w:rPr>
          <w:t xml:space="preserve"> causing a increase in global carbon emissions</w:t>
        </w:r>
      </w:hyperlink>
      <w:r w:rsidR="00BF166F" w:rsidRPr="00241D40">
        <w:rPr>
          <w:rFonts w:ascii="Tahoma" w:hAnsi="Tahoma" w:cs="Tahoma"/>
          <w:sz w:val="20"/>
          <w:szCs w:val="20"/>
        </w:rPr>
        <w:t>.</w:t>
      </w:r>
      <w:r w:rsidR="00CA6038" w:rsidRPr="00241D40">
        <w:rPr>
          <w:rFonts w:ascii="Tahoma" w:hAnsi="Tahoma" w:cs="Tahoma"/>
          <w:sz w:val="20"/>
          <w:szCs w:val="20"/>
        </w:rPr>
        <w:t xml:space="preserve"> </w:t>
      </w:r>
    </w:p>
    <w:p w:rsidR="0006292B" w:rsidRPr="00922C89" w:rsidRDefault="00676C49" w:rsidP="00F96486">
      <w:pPr>
        <w:rPr>
          <w:rFonts w:ascii="Tahoma" w:hAnsi="Tahoma" w:cs="Tahoma"/>
          <w:b/>
          <w:sz w:val="10"/>
          <w:szCs w:val="10"/>
        </w:rPr>
      </w:pPr>
      <w:r w:rsidRPr="00676C49">
        <w:rPr>
          <w:noProof/>
        </w:rPr>
        <w:pict>
          <v:shapetype id="_x0000_t202" coordsize="21600,21600" o:spt="202" path="m,l,21600r21600,l21600,xe">
            <v:stroke joinstyle="miter"/>
            <v:path gradientshapeok="t" o:connecttype="rect"/>
          </v:shapetype>
          <v:shape id="Text Box 2" o:spid="_x0000_s1026" type="#_x0000_t202" style="position:absolute;margin-left:263.7pt;margin-top:4pt;width:140.25pt;height:19.85pt;z-index:-251658240;visibility:visible;mso-wrap-distance-top:3.6pt;mso-wrap-distance-bottom:3.6pt;mso-position-horizontal-relative:margin;mso-width-relative:margin;mso-height-relative:margin" wrapcoords="-116 0 -116 20769 21600 20769 21600 0 -116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" stroked="f">
            <v:textbox>
              <w:txbxContent>
                <w:p w:rsidR="004D04DB" w:rsidRPr="004D04DB" w:rsidRDefault="004D04DB">
                  <w:pPr>
                    <w:rPr>
                      <w:sz w:val="20"/>
                      <w:szCs w:val="20"/>
                    </w:rPr>
                  </w:pPr>
                  <w:r w:rsidRPr="004D04DB">
                    <w:rPr>
                      <w:sz w:val="20"/>
                      <w:szCs w:val="20"/>
                    </w:rPr>
                    <w:t>Figure 1: NOC vs IOC Assets</w:t>
                  </w:r>
                </w:p>
              </w:txbxContent>
            </v:textbox>
            <w10:wrap type="tight" anchorx="margin"/>
          </v:shape>
        </w:pict>
      </w:r>
    </w:p>
    <w:p w:rsidR="00B8485B" w:rsidRPr="00241D40" w:rsidRDefault="00F96486" w:rsidP="00F96486">
      <w:pPr>
        <w:rPr>
          <w:rFonts w:ascii="Tahoma" w:hAnsi="Tahoma" w:cs="Tahoma"/>
          <w:b/>
          <w:sz w:val="20"/>
          <w:szCs w:val="20"/>
        </w:rPr>
      </w:pPr>
      <w:r w:rsidRPr="00241D40">
        <w:rPr>
          <w:rFonts w:ascii="Tahoma" w:hAnsi="Tahoma" w:cs="Tahoma"/>
          <w:b/>
          <w:sz w:val="20"/>
          <w:szCs w:val="20"/>
        </w:rPr>
        <w:t xml:space="preserve">What if </w:t>
      </w:r>
      <w:r w:rsidR="00BB0D1C" w:rsidRPr="00241D40">
        <w:rPr>
          <w:rFonts w:ascii="Tahoma" w:hAnsi="Tahoma" w:cs="Tahoma"/>
          <w:b/>
          <w:sz w:val="20"/>
          <w:szCs w:val="20"/>
        </w:rPr>
        <w:t>you</w:t>
      </w:r>
      <w:r w:rsidRPr="00241D40">
        <w:rPr>
          <w:rFonts w:ascii="Tahoma" w:hAnsi="Tahoma" w:cs="Tahoma"/>
          <w:b/>
          <w:sz w:val="20"/>
          <w:szCs w:val="20"/>
        </w:rPr>
        <w:t xml:space="preserve"> divest?</w:t>
      </w:r>
    </w:p>
    <w:p w:rsidR="00D26650" w:rsidRPr="00241D40" w:rsidRDefault="00D26650" w:rsidP="00F96486">
      <w:pPr>
        <w:rPr>
          <w:rFonts w:ascii="Tahoma" w:hAnsi="Tahoma" w:cs="Tahoma"/>
          <w:bCs/>
          <w:sz w:val="20"/>
          <w:szCs w:val="20"/>
        </w:rPr>
      </w:pPr>
      <w:r w:rsidRPr="00241D40">
        <w:rPr>
          <w:rFonts w:ascii="Tahoma" w:hAnsi="Tahoma" w:cs="Tahoma"/>
          <w:bCs/>
          <w:sz w:val="20"/>
          <w:szCs w:val="20"/>
        </w:rPr>
        <w:t xml:space="preserve">Divesting for moral reasons and doing it publicly will always attract some level of scrutiny which you should be aware of. Everyone has a different idea of what is moral and </w:t>
      </w:r>
      <w:r w:rsidR="00B5612F" w:rsidRPr="00842265">
        <w:rPr>
          <w:rFonts w:ascii="Tahoma" w:hAnsi="Tahoma" w:cs="Tahoma"/>
          <w:bCs/>
          <w:sz w:val="20"/>
          <w:szCs w:val="20"/>
        </w:rPr>
        <w:t xml:space="preserve">some may question why </w:t>
      </w:r>
      <w:r w:rsidR="002356E9" w:rsidRPr="00842265">
        <w:rPr>
          <w:rFonts w:ascii="Tahoma" w:hAnsi="Tahoma" w:cs="Tahoma"/>
          <w:bCs/>
          <w:sz w:val="20"/>
          <w:szCs w:val="20"/>
        </w:rPr>
        <w:t>you deem a</w:t>
      </w:r>
      <w:r w:rsidR="00E047B6">
        <w:rPr>
          <w:rFonts w:ascii="Tahoma" w:hAnsi="Tahoma" w:cs="Tahoma"/>
          <w:bCs/>
          <w:sz w:val="20"/>
          <w:szCs w:val="20"/>
        </w:rPr>
        <w:t xml:space="preserve"> fossil fuel company immoral but not a bank or an airline. </w:t>
      </w:r>
    </w:p>
    <w:p w:rsidR="00D26650" w:rsidRPr="00241D40" w:rsidRDefault="00E047B6" w:rsidP="00F96486">
      <w:pPr>
        <w:rPr>
          <w:rFonts w:ascii="Tahoma" w:hAnsi="Tahoma" w:cs="Tahoma"/>
          <w:bCs/>
          <w:sz w:val="20"/>
          <w:szCs w:val="20"/>
        </w:rPr>
      </w:pPr>
      <w:r>
        <w:rPr>
          <w:rFonts w:ascii="Tahoma" w:hAnsi="Tahoma" w:cs="Tahoma"/>
          <w:bCs/>
          <w:sz w:val="20"/>
          <w:szCs w:val="20"/>
        </w:rPr>
        <w:t xml:space="preserve">A clearer position to take is to invest for good. Rather than looking to minimize the damage caused by investment, you look to maximise the benefits with who you invest in and select companies who are aiming to have a positive impact. For a holistic overview it is best to check the </w:t>
      </w:r>
      <w:hyperlink r:id="rId13" w:history="1">
        <w:r w:rsidR="00530428" w:rsidRPr="00241D40">
          <w:rPr>
            <w:rStyle w:val="Hyperlink"/>
            <w:rFonts w:ascii="Tahoma" w:hAnsi="Tahoma" w:cs="Tahoma"/>
            <w:bCs/>
            <w:sz w:val="20"/>
            <w:szCs w:val="20"/>
          </w:rPr>
          <w:t>Environmental, Social and Governance (ESG) score</w:t>
        </w:r>
      </w:hyperlink>
      <w:r w:rsidR="00530428" w:rsidRPr="00241D40">
        <w:rPr>
          <w:rFonts w:ascii="Tahoma" w:hAnsi="Tahoma" w:cs="Tahoma"/>
          <w:bCs/>
          <w:sz w:val="20"/>
          <w:szCs w:val="20"/>
        </w:rPr>
        <w:t xml:space="preserve"> of your invest</w:t>
      </w:r>
      <w:r w:rsidR="00BB0D1C" w:rsidRPr="00241D40">
        <w:rPr>
          <w:rFonts w:ascii="Tahoma" w:hAnsi="Tahoma" w:cs="Tahoma"/>
          <w:bCs/>
          <w:sz w:val="20"/>
          <w:szCs w:val="20"/>
        </w:rPr>
        <w:t>ments.</w:t>
      </w:r>
      <w:r w:rsidR="00530428" w:rsidRPr="00241D40">
        <w:rPr>
          <w:rFonts w:ascii="Tahoma" w:hAnsi="Tahoma" w:cs="Tahoma"/>
          <w:bCs/>
          <w:sz w:val="20"/>
          <w:szCs w:val="20"/>
        </w:rPr>
        <w:t xml:space="preserve"> </w:t>
      </w:r>
      <w:r w:rsidR="00BB0D1C" w:rsidRPr="00241D40">
        <w:rPr>
          <w:rFonts w:ascii="Tahoma" w:hAnsi="Tahoma" w:cs="Tahoma"/>
          <w:bCs/>
          <w:sz w:val="20"/>
          <w:szCs w:val="20"/>
        </w:rPr>
        <w:t xml:space="preserve">This score </w:t>
      </w:r>
      <w:r w:rsidR="00C71D1B" w:rsidRPr="00241D40">
        <w:rPr>
          <w:rFonts w:ascii="Tahoma" w:hAnsi="Tahoma" w:cs="Tahoma"/>
          <w:bCs/>
          <w:sz w:val="20"/>
          <w:szCs w:val="20"/>
        </w:rPr>
        <w:t xml:space="preserve">is </w:t>
      </w:r>
      <w:r w:rsidR="00530428" w:rsidRPr="00241D40">
        <w:rPr>
          <w:rFonts w:ascii="Tahoma" w:hAnsi="Tahoma" w:cs="Tahoma"/>
          <w:bCs/>
          <w:sz w:val="20"/>
          <w:szCs w:val="20"/>
        </w:rPr>
        <w:t>calculated by an independent 3</w:t>
      </w:r>
      <w:r w:rsidR="00530428" w:rsidRPr="00241D40">
        <w:rPr>
          <w:rFonts w:ascii="Tahoma" w:hAnsi="Tahoma" w:cs="Tahoma"/>
          <w:bCs/>
          <w:sz w:val="20"/>
          <w:szCs w:val="20"/>
          <w:vertAlign w:val="superscript"/>
        </w:rPr>
        <w:t>rd</w:t>
      </w:r>
      <w:r w:rsidR="00530428" w:rsidRPr="00842265">
        <w:rPr>
          <w:rFonts w:ascii="Tahoma" w:hAnsi="Tahoma" w:cs="Tahoma"/>
          <w:bCs/>
          <w:sz w:val="20"/>
          <w:szCs w:val="20"/>
        </w:rPr>
        <w:t xml:space="preserve"> party</w:t>
      </w:r>
      <w:r w:rsidR="00241D40" w:rsidRPr="00842265">
        <w:rPr>
          <w:rFonts w:ascii="Tahoma" w:hAnsi="Tahoma" w:cs="Tahoma"/>
          <w:bCs/>
          <w:sz w:val="20"/>
          <w:szCs w:val="20"/>
        </w:rPr>
        <w:t xml:space="preserve"> organisation</w:t>
      </w:r>
      <w:r>
        <w:rPr>
          <w:rFonts w:ascii="Tahoma" w:hAnsi="Tahoma" w:cs="Tahoma"/>
          <w:bCs/>
          <w:sz w:val="20"/>
          <w:szCs w:val="20"/>
        </w:rPr>
        <w:t xml:space="preserve"> whose job it is to research investments and rank them on their ethical and sustainability impacts. Be aware that the same issues of primary and secondary investing still apply but any dividends you receive are at least “guilt free” and you are no longer profiting from dividends from “immoral” industries. </w:t>
      </w:r>
    </w:p>
    <w:p w:rsidR="00F96486" w:rsidRPr="00241D40" w:rsidRDefault="00E047B6" w:rsidP="00F96486">
      <w:pPr>
        <w:rPr>
          <w:rFonts w:ascii="Tahoma" w:hAnsi="Tahoma" w:cs="Tahoma"/>
          <w:b/>
          <w:sz w:val="20"/>
          <w:szCs w:val="20"/>
        </w:rPr>
      </w:pPr>
      <w:r>
        <w:rPr>
          <w:rFonts w:ascii="Tahoma" w:hAnsi="Tahoma" w:cs="Tahoma"/>
          <w:b/>
          <w:sz w:val="20"/>
          <w:szCs w:val="20"/>
        </w:rPr>
        <w:lastRenderedPageBreak/>
        <w:t>Summary</w:t>
      </w:r>
    </w:p>
    <w:p w:rsidR="00C84E39" w:rsidRDefault="00E047B6" w:rsidP="003F29A8">
      <w:pPr>
        <w:rPr>
          <w:rFonts w:ascii="Tahoma" w:hAnsi="Tahoma" w:cs="Tahoma"/>
          <w:sz w:val="20"/>
          <w:szCs w:val="20"/>
        </w:rPr>
      </w:pPr>
      <w:r>
        <w:rPr>
          <w:rFonts w:ascii="Tahoma" w:hAnsi="Tahoma" w:cs="Tahoma"/>
          <w:sz w:val="20"/>
          <w:szCs w:val="20"/>
        </w:rPr>
        <w:t>Divesting publicly and loudly does raise awareness of the issue and will catch people’s attention.  It is important to stress divestment is about removing the social license to operate and showing that you don’t believe in this particular industry. It is essential that divestment is public and transparent if you are aiming to affect change as selling assets quietly has little direct impact. Divestment often results in a lot of media attention as you publicly move away from an industry so be sure you are prepared for that to happen and are clear about the message you are sending.</w:t>
      </w:r>
    </w:p>
    <w:p w:rsidR="003C511B" w:rsidRDefault="003C511B" w:rsidP="003F29A8">
      <w:pPr>
        <w:rPr>
          <w:rFonts w:ascii="Tahoma" w:hAnsi="Tahoma" w:cs="Tahoma"/>
          <w:sz w:val="20"/>
          <w:szCs w:val="20"/>
        </w:rPr>
      </w:pPr>
    </w:p>
    <w:p w:rsidR="003C511B" w:rsidRDefault="003C511B" w:rsidP="003F29A8">
      <w:pPr>
        <w:rPr>
          <w:rFonts w:ascii="Tahoma" w:hAnsi="Tahoma" w:cs="Tahoma"/>
          <w:b/>
          <w:sz w:val="20"/>
          <w:szCs w:val="20"/>
        </w:rPr>
      </w:pPr>
      <w:r w:rsidRPr="003C511B">
        <w:rPr>
          <w:rFonts w:ascii="Tahoma" w:hAnsi="Tahoma" w:cs="Tahoma"/>
          <w:b/>
          <w:sz w:val="20"/>
          <w:szCs w:val="20"/>
        </w:rPr>
        <w:t>Further Resources</w:t>
      </w:r>
    </w:p>
    <w:p w:rsidR="00621144" w:rsidRDefault="00621144" w:rsidP="006B6C92">
      <w:pPr>
        <w:pStyle w:val="ListParagraph"/>
        <w:numPr>
          <w:ilvl w:val="0"/>
          <w:numId w:val="13"/>
        </w:numPr>
        <w:rPr>
          <w:rFonts w:ascii="Tahoma" w:hAnsi="Tahoma" w:cs="Tahoma"/>
          <w:b/>
          <w:sz w:val="20"/>
          <w:szCs w:val="20"/>
        </w:rPr>
        <w:sectPr w:rsidR="00621144" w:rsidSect="007A3B72">
          <w:headerReference w:type="default" r:id="rId14"/>
          <w:footerReference w:type="default" r:id="rId15"/>
          <w:pgSz w:w="11906" w:h="16838"/>
          <w:pgMar w:top="1440" w:right="1440" w:bottom="1440" w:left="1440" w:header="708" w:footer="708" w:gutter="0"/>
          <w:cols w:space="708"/>
          <w:docGrid w:linePitch="360"/>
        </w:sectPr>
      </w:pPr>
    </w:p>
    <w:p w:rsidR="003C511B" w:rsidRDefault="00676C49" w:rsidP="006B6C92">
      <w:pPr>
        <w:pStyle w:val="ListParagraph"/>
        <w:numPr>
          <w:ilvl w:val="0"/>
          <w:numId w:val="13"/>
        </w:numPr>
        <w:rPr>
          <w:rFonts w:ascii="Tahoma" w:hAnsi="Tahoma" w:cs="Tahoma"/>
          <w:b/>
          <w:sz w:val="20"/>
          <w:szCs w:val="20"/>
        </w:rPr>
      </w:pPr>
      <w:hyperlink r:id="rId16" w:history="1">
        <w:r w:rsidR="003C511B" w:rsidRPr="006B6C92">
          <w:rPr>
            <w:rStyle w:val="Hyperlink"/>
            <w:rFonts w:ascii="Tahoma" w:hAnsi="Tahoma" w:cs="Tahoma"/>
            <w:b/>
            <w:sz w:val="20"/>
            <w:szCs w:val="20"/>
          </w:rPr>
          <w:t>Share Action – Responsible Investments</w:t>
        </w:r>
      </w:hyperlink>
    </w:p>
    <w:p w:rsidR="002522CC" w:rsidRPr="00EC2187" w:rsidRDefault="00676C49" w:rsidP="006B6C92">
      <w:pPr>
        <w:pStyle w:val="ListParagraph"/>
        <w:numPr>
          <w:ilvl w:val="0"/>
          <w:numId w:val="13"/>
        </w:numPr>
        <w:rPr>
          <w:rFonts w:ascii="Tahoma" w:hAnsi="Tahoma" w:cs="Tahoma"/>
          <w:b/>
          <w:sz w:val="20"/>
          <w:szCs w:val="20"/>
        </w:rPr>
      </w:pPr>
      <w:hyperlink r:id="rId17" w:history="1">
        <w:r w:rsidR="00EC2187" w:rsidRPr="00EC2187">
          <w:rPr>
            <w:rStyle w:val="Hyperlink"/>
            <w:rFonts w:ascii="Tahoma" w:hAnsi="Tahoma" w:cs="Tahoma"/>
            <w:b/>
            <w:sz w:val="20"/>
            <w:szCs w:val="20"/>
          </w:rPr>
          <w:t>Positive</w:t>
        </w:r>
        <w:r w:rsidR="00EC2187" w:rsidRPr="00EC2187">
          <w:rPr>
            <w:rStyle w:val="Hyperlink"/>
            <w:b/>
          </w:rPr>
          <w:t xml:space="preserve"> Investment and Social Finance – University of Edinburgh</w:t>
        </w:r>
      </w:hyperlink>
    </w:p>
    <w:p w:rsidR="002522CC" w:rsidRPr="006B6C92" w:rsidRDefault="00676C49" w:rsidP="006B6C92">
      <w:pPr>
        <w:pStyle w:val="ListParagraph"/>
        <w:numPr>
          <w:ilvl w:val="0"/>
          <w:numId w:val="13"/>
        </w:numPr>
        <w:rPr>
          <w:rFonts w:ascii="Tahoma" w:hAnsi="Tahoma" w:cs="Tahoma"/>
          <w:b/>
          <w:sz w:val="20"/>
          <w:szCs w:val="20"/>
        </w:rPr>
      </w:pPr>
      <w:hyperlink r:id="rId18" w:history="1">
        <w:r w:rsidR="002522CC" w:rsidRPr="002522CC">
          <w:rPr>
            <w:rStyle w:val="Hyperlink"/>
            <w:rFonts w:ascii="Tahoma" w:hAnsi="Tahoma" w:cs="Tahoma"/>
            <w:b/>
            <w:sz w:val="20"/>
            <w:szCs w:val="20"/>
          </w:rPr>
          <w:t>Ethical Investing Approaches and Scams</w:t>
        </w:r>
      </w:hyperlink>
    </w:p>
    <w:p w:rsidR="003C511B" w:rsidRPr="006B6C92" w:rsidRDefault="00676C49" w:rsidP="006B6C92">
      <w:pPr>
        <w:pStyle w:val="ListParagraph"/>
        <w:numPr>
          <w:ilvl w:val="0"/>
          <w:numId w:val="13"/>
        </w:numPr>
        <w:rPr>
          <w:rFonts w:ascii="Tahoma" w:hAnsi="Tahoma" w:cs="Tahoma"/>
          <w:b/>
          <w:sz w:val="20"/>
          <w:szCs w:val="20"/>
        </w:rPr>
      </w:pPr>
      <w:hyperlink r:id="rId19" w:history="1">
        <w:r w:rsidR="003C511B" w:rsidRPr="006B6C92">
          <w:rPr>
            <w:rStyle w:val="Hyperlink"/>
            <w:rFonts w:ascii="Tahoma" w:hAnsi="Tahoma" w:cs="Tahoma"/>
            <w:b/>
            <w:sz w:val="20"/>
            <w:szCs w:val="20"/>
          </w:rPr>
          <w:t>What is Sustainable Investing?</w:t>
        </w:r>
      </w:hyperlink>
    </w:p>
    <w:p w:rsidR="00621144" w:rsidRDefault="00621144" w:rsidP="003F29A8">
      <w:pPr>
        <w:rPr>
          <w:rFonts w:ascii="Tahoma" w:hAnsi="Tahoma" w:cs="Tahoma"/>
          <w:b/>
          <w:sz w:val="20"/>
          <w:szCs w:val="20"/>
        </w:rPr>
        <w:sectPr w:rsidR="00621144" w:rsidSect="00621144">
          <w:type w:val="continuous"/>
          <w:pgSz w:w="11906" w:h="16838"/>
          <w:pgMar w:top="1440" w:right="1440" w:bottom="1440" w:left="1440" w:header="708" w:footer="708" w:gutter="0"/>
          <w:cols w:num="2" w:space="708"/>
          <w:docGrid w:linePitch="360"/>
        </w:sectPr>
      </w:pPr>
    </w:p>
    <w:p w:rsidR="006B6C92" w:rsidRDefault="006B6C92" w:rsidP="003F29A8">
      <w:pPr>
        <w:rPr>
          <w:rFonts w:ascii="Tahoma" w:hAnsi="Tahoma" w:cs="Tahoma"/>
          <w:b/>
          <w:sz w:val="20"/>
          <w:szCs w:val="20"/>
        </w:rPr>
      </w:pPr>
    </w:p>
    <w:p w:rsidR="003C511B" w:rsidRDefault="003C511B" w:rsidP="003F29A8">
      <w:pPr>
        <w:rPr>
          <w:rFonts w:ascii="Tahoma" w:hAnsi="Tahoma" w:cs="Tahoma"/>
          <w:b/>
          <w:sz w:val="20"/>
          <w:szCs w:val="20"/>
        </w:rPr>
      </w:pPr>
    </w:p>
    <w:p w:rsidR="003C511B" w:rsidRPr="003C511B" w:rsidRDefault="003C511B" w:rsidP="003F29A8">
      <w:pPr>
        <w:rPr>
          <w:rFonts w:ascii="Tahoma" w:hAnsi="Tahoma" w:cs="Tahoma"/>
          <w:b/>
          <w:sz w:val="20"/>
          <w:szCs w:val="20"/>
        </w:rPr>
        <w:sectPr w:rsidR="003C511B" w:rsidRPr="003C511B" w:rsidSect="00621144">
          <w:type w:val="continuous"/>
          <w:pgSz w:w="11906" w:h="16838"/>
          <w:pgMar w:top="1440" w:right="1440" w:bottom="1440" w:left="1440" w:header="708" w:footer="708" w:gutter="0"/>
          <w:cols w:space="708"/>
          <w:docGrid w:linePitch="360"/>
        </w:sectPr>
      </w:pPr>
    </w:p>
    <w:p w:rsidR="00105857" w:rsidRPr="00D057C4" w:rsidRDefault="00105857" w:rsidP="002E5B91">
      <w:pPr>
        <w:pStyle w:val="EAUCHeader"/>
        <w:jc w:val="left"/>
        <w:rPr>
          <w:sz w:val="20"/>
          <w:szCs w:val="20"/>
        </w:rPr>
      </w:pPr>
    </w:p>
    <w:sectPr w:rsidR="00105857" w:rsidRPr="00D057C4" w:rsidSect="00C84E39">
      <w:type w:val="continuous"/>
      <w:pgSz w:w="11906" w:h="16838"/>
      <w:pgMar w:top="1440" w:right="1440" w:bottom="1440" w:left="144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26F2" w:rsidRDefault="003526F2" w:rsidP="004B0058">
      <w:pPr>
        <w:spacing w:after="0" w:line="240" w:lineRule="auto"/>
      </w:pPr>
      <w:r>
        <w:separator/>
      </w:r>
    </w:p>
  </w:endnote>
  <w:endnote w:type="continuationSeparator" w:id="0">
    <w:p w:rsidR="003526F2" w:rsidRDefault="003526F2" w:rsidP="004B00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roxima Nova Alt Rg">
    <w:altName w:val="Franklin Gothic Medium Cond"/>
    <w:charset w:val="00"/>
    <w:family w:val="auto"/>
    <w:pitch w:val="variable"/>
    <w:sig w:usb0="800000AF" w:usb1="5000E0F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BAE" w:rsidRDefault="00676C49" w:rsidP="004B0058">
    <w:pPr>
      <w:pStyle w:val="Header"/>
    </w:pPr>
    <w:r w:rsidRPr="00676C49">
      <w:rPr>
        <w:noProof/>
      </w:rPr>
      <w:pict>
        <v:line id="Straight Connector 10" o:spid="_x0000_s2050" style="position:absolute;flip:y;z-index:251659264;visibility:visible;mso-position-horizontal:center;mso-position-horizontal-relative:margin;mso-width-relative:margin;mso-height-relative:margin" from="0,-1.95pt" to="453.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" strokecolor="#5b9bd5" strokeweight=".5pt">
          <v:stroke joinstyle="miter"/>
          <w10:wrap anchorx="margin"/>
        </v:line>
      </w:pict>
    </w:r>
    <w:r w:rsidRPr="00676C49">
      <w:rPr>
        <w:noProof/>
      </w:rPr>
      <w:pict>
        <v:shapetype id="_x0000_t202" coordsize="21600,21600" o:spt="202" path="m,l,21600r21600,l21600,xe">
          <v:stroke joinstyle="miter"/>
          <v:path gradientshapeok="t" o:connecttype="rect"/>
        </v:shapetype>
        <v:shape id="Text Box 2" o:spid="_x0000_s2049" type="#_x0000_t202" style="position:absolute;margin-left:-8.5pt;margin-top:9.15pt;width:422.6pt;height:24.75pt;z-index:-251656192;visibility:visible;mso-wrap-distance-top:3.6pt;mso-wrap-distance-bottom:3.6pt;mso-width-relative:margin;mso-height-relative:margin" wrapcoords="-38 0 -38 20945 21600 20945 21600 0 -38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" stroked="f">
          <v:textbox>
            <w:txbxContent>
              <w:p w:rsidR="00187BAE" w:rsidRPr="00902ECC" w:rsidRDefault="00187BAE" w:rsidP="004B0058">
                <w:pPr>
                  <w:rPr>
                    <w:color w:val="1C5FAA"/>
                  </w:rPr>
                </w:pPr>
                <w:r w:rsidRPr="00902ECC">
                  <w:rPr>
                    <w:rFonts w:ascii="Tahoma" w:hAnsi="Tahoma" w:cs="Tahoma"/>
                    <w:color w:val="1C5FAA"/>
                  </w:rPr>
                  <w:t xml:space="preserve">EAUC </w:t>
                </w:r>
                <w:r>
                  <w:rPr>
                    <w:rFonts w:ascii="Tahoma" w:hAnsi="Tahoma" w:cs="Tahoma"/>
                    <w:color w:val="1C5FAA"/>
                  </w:rPr>
                  <w:t xml:space="preserve">Scotland </w:t>
                </w:r>
                <w:r w:rsidRPr="00902ECC">
                  <w:rPr>
                    <w:rFonts w:ascii="Tahoma" w:hAnsi="Tahoma" w:cs="Tahoma"/>
                    <w:color w:val="1C5FAA"/>
                  </w:rPr>
                  <w:t>– The Alliance for Sustainability Leadership in Education</w:t>
                </w:r>
              </w:p>
              <w:p w:rsidR="00187BAE" w:rsidRDefault="00187BAE" w:rsidP="004B0058"/>
            </w:txbxContent>
          </v:textbox>
          <w10:wrap type="tight"/>
        </v:shape>
      </w:pict>
    </w:r>
  </w:p>
  <w:sdt>
    <w:sdtPr>
      <w:id w:val="59933345"/>
      <w:docPartObj>
        <w:docPartGallery w:val="Page Numbers (Bottom of Page)"/>
        <w:docPartUnique/>
      </w:docPartObj>
    </w:sdtPr>
    <w:sdtEndPr>
      <w:rPr>
        <w:noProof/>
      </w:rPr>
    </w:sdtEndPr>
    <w:sdtContent>
      <w:p w:rsidR="00187BAE" w:rsidRDefault="00187BAE" w:rsidP="004B0058">
        <w:pPr>
          <w:pStyle w:val="Footer"/>
        </w:pPr>
        <w:r>
          <w:tab/>
        </w:r>
      </w:p>
    </w:sdtContent>
  </w:sdt>
  <w:p w:rsidR="00187BAE" w:rsidRDefault="00187BA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26F2" w:rsidRDefault="003526F2" w:rsidP="004B0058">
      <w:pPr>
        <w:spacing w:after="0" w:line="240" w:lineRule="auto"/>
      </w:pPr>
      <w:r>
        <w:separator/>
      </w:r>
    </w:p>
  </w:footnote>
  <w:footnote w:type="continuationSeparator" w:id="0">
    <w:p w:rsidR="003526F2" w:rsidRDefault="003526F2" w:rsidP="004B00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B81" w:rsidRDefault="009B4B81">
    <w:pPr>
      <w:pStyle w:val="Header"/>
    </w:pPr>
    <w:r>
      <w:rPr>
        <w:noProof/>
        <w:lang w:val="en-GB" w:eastAsia="en-GB"/>
      </w:rPr>
      <w:drawing>
        <wp:anchor distT="0" distB="0" distL="114300" distR="114300" simplePos="0" relativeHeight="251661312" behindDoc="0" locked="0" layoutInCell="1" allowOverlap="1">
          <wp:simplePos x="0" y="0"/>
          <wp:positionH relativeFrom="column">
            <wp:posOffset>4295775</wp:posOffset>
          </wp:positionH>
          <wp:positionV relativeFrom="paragraph">
            <wp:posOffset>-248285</wp:posOffset>
          </wp:positionV>
          <wp:extent cx="2010410" cy="808355"/>
          <wp:effectExtent l="0" t="0" r="8890" b="0"/>
          <wp:wrapThrough wrapText="bothSides">
            <wp:wrapPolygon edited="0">
              <wp:start x="0" y="0"/>
              <wp:lineTo x="0" y="20870"/>
              <wp:lineTo x="21491" y="20870"/>
              <wp:lineTo x="21491"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0410" cy="80835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C70AB"/>
    <w:multiLevelType w:val="hybridMultilevel"/>
    <w:tmpl w:val="48765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AF713D"/>
    <w:multiLevelType w:val="hybridMultilevel"/>
    <w:tmpl w:val="E98EAA4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nsid w:val="12DB0760"/>
    <w:multiLevelType w:val="hybridMultilevel"/>
    <w:tmpl w:val="31E46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79D2015"/>
    <w:multiLevelType w:val="hybridMultilevel"/>
    <w:tmpl w:val="1B084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52953CA"/>
    <w:multiLevelType w:val="hybridMultilevel"/>
    <w:tmpl w:val="43F0D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7FD4E05"/>
    <w:multiLevelType w:val="hybridMultilevel"/>
    <w:tmpl w:val="5A20ED7C"/>
    <w:lvl w:ilvl="0" w:tplc="54302004">
      <w:start w:val="1"/>
      <w:numFmt w:val="bullet"/>
      <w:lvlText w:val=""/>
      <w:lvlJc w:val="left"/>
      <w:pPr>
        <w:ind w:left="720" w:hanging="360"/>
      </w:pPr>
      <w:rPr>
        <w:rFonts w:ascii="Symbol" w:hAnsi="Symbol" w:hint="default"/>
        <w:color w:val="1C5FA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416B40"/>
    <w:multiLevelType w:val="hybridMultilevel"/>
    <w:tmpl w:val="6786DB2C"/>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7">
    <w:nsid w:val="460D287B"/>
    <w:multiLevelType w:val="hybridMultilevel"/>
    <w:tmpl w:val="6D7A3888"/>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8">
    <w:nsid w:val="51EB7BEC"/>
    <w:multiLevelType w:val="hybridMultilevel"/>
    <w:tmpl w:val="5FF25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2F96A0E"/>
    <w:multiLevelType w:val="hybridMultilevel"/>
    <w:tmpl w:val="C8669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38A22DA"/>
    <w:multiLevelType w:val="hybridMultilevel"/>
    <w:tmpl w:val="8EF02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10263E3"/>
    <w:multiLevelType w:val="hybridMultilevel"/>
    <w:tmpl w:val="A7A03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9463629"/>
    <w:multiLevelType w:val="hybridMultilevel"/>
    <w:tmpl w:val="1E88ADC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2"/>
  </w:num>
  <w:num w:numId="3">
    <w:abstractNumId w:val="3"/>
  </w:num>
  <w:num w:numId="4">
    <w:abstractNumId w:val="2"/>
  </w:num>
  <w:num w:numId="5">
    <w:abstractNumId w:val="9"/>
  </w:num>
  <w:num w:numId="6">
    <w:abstractNumId w:val="10"/>
  </w:num>
  <w:num w:numId="7">
    <w:abstractNumId w:val="8"/>
  </w:num>
  <w:num w:numId="8">
    <w:abstractNumId w:val="4"/>
  </w:num>
  <w:num w:numId="9">
    <w:abstractNumId w:val="1"/>
  </w:num>
  <w:num w:numId="10">
    <w:abstractNumId w:val="7"/>
  </w:num>
  <w:num w:numId="11">
    <w:abstractNumId w:val="6"/>
  </w:num>
  <w:num w:numId="12">
    <w:abstractNumId w:val="1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20"/>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063419"/>
    <w:rsid w:val="00000708"/>
    <w:rsid w:val="00052D19"/>
    <w:rsid w:val="0005652B"/>
    <w:rsid w:val="00060E79"/>
    <w:rsid w:val="0006292B"/>
    <w:rsid w:val="00063419"/>
    <w:rsid w:val="00090503"/>
    <w:rsid w:val="00096F1D"/>
    <w:rsid w:val="000E3B37"/>
    <w:rsid w:val="00101191"/>
    <w:rsid w:val="00105857"/>
    <w:rsid w:val="001309AE"/>
    <w:rsid w:val="00153293"/>
    <w:rsid w:val="00162A05"/>
    <w:rsid w:val="00186D26"/>
    <w:rsid w:val="00187A82"/>
    <w:rsid w:val="00187BAE"/>
    <w:rsid w:val="001C0BF2"/>
    <w:rsid w:val="001C0E68"/>
    <w:rsid w:val="0023374B"/>
    <w:rsid w:val="002356E9"/>
    <w:rsid w:val="00241D40"/>
    <w:rsid w:val="00245C4E"/>
    <w:rsid w:val="002522CC"/>
    <w:rsid w:val="002814D9"/>
    <w:rsid w:val="00282953"/>
    <w:rsid w:val="002877CF"/>
    <w:rsid w:val="002A4CE6"/>
    <w:rsid w:val="002B260A"/>
    <w:rsid w:val="002B5AA9"/>
    <w:rsid w:val="002B5FE3"/>
    <w:rsid w:val="002D1640"/>
    <w:rsid w:val="002E0939"/>
    <w:rsid w:val="002E4094"/>
    <w:rsid w:val="002E533A"/>
    <w:rsid w:val="002E5B91"/>
    <w:rsid w:val="00305636"/>
    <w:rsid w:val="00307371"/>
    <w:rsid w:val="00307E42"/>
    <w:rsid w:val="003145EC"/>
    <w:rsid w:val="003247A3"/>
    <w:rsid w:val="003526F2"/>
    <w:rsid w:val="003676F4"/>
    <w:rsid w:val="00377A57"/>
    <w:rsid w:val="00384D49"/>
    <w:rsid w:val="003B519B"/>
    <w:rsid w:val="003C1E6F"/>
    <w:rsid w:val="003C511B"/>
    <w:rsid w:val="003C5ACD"/>
    <w:rsid w:val="003F29A8"/>
    <w:rsid w:val="00415239"/>
    <w:rsid w:val="004458F3"/>
    <w:rsid w:val="00455BD9"/>
    <w:rsid w:val="00456CB2"/>
    <w:rsid w:val="00472FA5"/>
    <w:rsid w:val="0047375C"/>
    <w:rsid w:val="00491598"/>
    <w:rsid w:val="004943FB"/>
    <w:rsid w:val="004972E2"/>
    <w:rsid w:val="004A28A9"/>
    <w:rsid w:val="004B0058"/>
    <w:rsid w:val="004C5B9A"/>
    <w:rsid w:val="004D04DB"/>
    <w:rsid w:val="004D442E"/>
    <w:rsid w:val="004D4713"/>
    <w:rsid w:val="004F4E06"/>
    <w:rsid w:val="00505D7D"/>
    <w:rsid w:val="005117D5"/>
    <w:rsid w:val="0052210E"/>
    <w:rsid w:val="00522994"/>
    <w:rsid w:val="00524FBF"/>
    <w:rsid w:val="00525131"/>
    <w:rsid w:val="00527E09"/>
    <w:rsid w:val="00530428"/>
    <w:rsid w:val="0053204E"/>
    <w:rsid w:val="00535ED5"/>
    <w:rsid w:val="00541961"/>
    <w:rsid w:val="00553FD4"/>
    <w:rsid w:val="00563D4A"/>
    <w:rsid w:val="00572903"/>
    <w:rsid w:val="00574F66"/>
    <w:rsid w:val="00577111"/>
    <w:rsid w:val="00577D9A"/>
    <w:rsid w:val="00586943"/>
    <w:rsid w:val="00596604"/>
    <w:rsid w:val="005E41F5"/>
    <w:rsid w:val="00610467"/>
    <w:rsid w:val="00617A37"/>
    <w:rsid w:val="00621144"/>
    <w:rsid w:val="0062336E"/>
    <w:rsid w:val="00632DDF"/>
    <w:rsid w:val="00633437"/>
    <w:rsid w:val="0065300C"/>
    <w:rsid w:val="00662CE5"/>
    <w:rsid w:val="00664E85"/>
    <w:rsid w:val="00667A66"/>
    <w:rsid w:val="00667E54"/>
    <w:rsid w:val="00674E99"/>
    <w:rsid w:val="006761BC"/>
    <w:rsid w:val="00676C49"/>
    <w:rsid w:val="00693D9B"/>
    <w:rsid w:val="006B6C92"/>
    <w:rsid w:val="006C4BC3"/>
    <w:rsid w:val="006C603E"/>
    <w:rsid w:val="006D5266"/>
    <w:rsid w:val="006E2425"/>
    <w:rsid w:val="006E6E5A"/>
    <w:rsid w:val="00702349"/>
    <w:rsid w:val="00710D26"/>
    <w:rsid w:val="0071477C"/>
    <w:rsid w:val="00724D1D"/>
    <w:rsid w:val="00730749"/>
    <w:rsid w:val="00743607"/>
    <w:rsid w:val="00747429"/>
    <w:rsid w:val="007800B6"/>
    <w:rsid w:val="007A07E7"/>
    <w:rsid w:val="007A3B72"/>
    <w:rsid w:val="007B6529"/>
    <w:rsid w:val="007C262F"/>
    <w:rsid w:val="007C6A03"/>
    <w:rsid w:val="007E25B1"/>
    <w:rsid w:val="00820C71"/>
    <w:rsid w:val="0082288E"/>
    <w:rsid w:val="00842265"/>
    <w:rsid w:val="00843E8F"/>
    <w:rsid w:val="00855712"/>
    <w:rsid w:val="008638C2"/>
    <w:rsid w:val="008728D2"/>
    <w:rsid w:val="008909AB"/>
    <w:rsid w:val="00893CF1"/>
    <w:rsid w:val="008D452E"/>
    <w:rsid w:val="008D75AB"/>
    <w:rsid w:val="008E4997"/>
    <w:rsid w:val="008F0642"/>
    <w:rsid w:val="00907416"/>
    <w:rsid w:val="00922C89"/>
    <w:rsid w:val="00923760"/>
    <w:rsid w:val="00937885"/>
    <w:rsid w:val="00963ADB"/>
    <w:rsid w:val="00965A64"/>
    <w:rsid w:val="00967CC3"/>
    <w:rsid w:val="0098715F"/>
    <w:rsid w:val="009B4B81"/>
    <w:rsid w:val="009C704A"/>
    <w:rsid w:val="009D5711"/>
    <w:rsid w:val="009D61E4"/>
    <w:rsid w:val="009F7368"/>
    <w:rsid w:val="00A2256C"/>
    <w:rsid w:val="00A33164"/>
    <w:rsid w:val="00A5775C"/>
    <w:rsid w:val="00A704A0"/>
    <w:rsid w:val="00A979DB"/>
    <w:rsid w:val="00AA68D2"/>
    <w:rsid w:val="00AB4883"/>
    <w:rsid w:val="00AB4BD6"/>
    <w:rsid w:val="00AC1820"/>
    <w:rsid w:val="00AD4D41"/>
    <w:rsid w:val="00AD60EA"/>
    <w:rsid w:val="00AF18CD"/>
    <w:rsid w:val="00AF5DB4"/>
    <w:rsid w:val="00B169BF"/>
    <w:rsid w:val="00B205F4"/>
    <w:rsid w:val="00B234DD"/>
    <w:rsid w:val="00B315B3"/>
    <w:rsid w:val="00B40677"/>
    <w:rsid w:val="00B5435A"/>
    <w:rsid w:val="00B5612F"/>
    <w:rsid w:val="00B570F8"/>
    <w:rsid w:val="00B57701"/>
    <w:rsid w:val="00B7229B"/>
    <w:rsid w:val="00B80A59"/>
    <w:rsid w:val="00B8485B"/>
    <w:rsid w:val="00B93D8B"/>
    <w:rsid w:val="00BB0D1C"/>
    <w:rsid w:val="00BB197D"/>
    <w:rsid w:val="00BB36BA"/>
    <w:rsid w:val="00BD4FFF"/>
    <w:rsid w:val="00BF1022"/>
    <w:rsid w:val="00BF166F"/>
    <w:rsid w:val="00C42FD6"/>
    <w:rsid w:val="00C46D7D"/>
    <w:rsid w:val="00C5212A"/>
    <w:rsid w:val="00C67A49"/>
    <w:rsid w:val="00C71D1B"/>
    <w:rsid w:val="00C73F2F"/>
    <w:rsid w:val="00C84E39"/>
    <w:rsid w:val="00C87603"/>
    <w:rsid w:val="00C9555A"/>
    <w:rsid w:val="00C9675F"/>
    <w:rsid w:val="00C96858"/>
    <w:rsid w:val="00CA6038"/>
    <w:rsid w:val="00CB04EE"/>
    <w:rsid w:val="00CB6D6C"/>
    <w:rsid w:val="00CC0A06"/>
    <w:rsid w:val="00CC61B9"/>
    <w:rsid w:val="00CC62C8"/>
    <w:rsid w:val="00CE508F"/>
    <w:rsid w:val="00CE6B6D"/>
    <w:rsid w:val="00D042AC"/>
    <w:rsid w:val="00D057C4"/>
    <w:rsid w:val="00D26650"/>
    <w:rsid w:val="00D27B4F"/>
    <w:rsid w:val="00D30950"/>
    <w:rsid w:val="00D35AE0"/>
    <w:rsid w:val="00D72AF5"/>
    <w:rsid w:val="00D81110"/>
    <w:rsid w:val="00D8274B"/>
    <w:rsid w:val="00D95D94"/>
    <w:rsid w:val="00DA0B38"/>
    <w:rsid w:val="00DB1B7C"/>
    <w:rsid w:val="00DB2A78"/>
    <w:rsid w:val="00DD5742"/>
    <w:rsid w:val="00DD5FA4"/>
    <w:rsid w:val="00DF68A3"/>
    <w:rsid w:val="00DF6CB4"/>
    <w:rsid w:val="00E047B6"/>
    <w:rsid w:val="00E07BE3"/>
    <w:rsid w:val="00E12CA8"/>
    <w:rsid w:val="00E46F5E"/>
    <w:rsid w:val="00E52BF0"/>
    <w:rsid w:val="00E73B81"/>
    <w:rsid w:val="00E95A7D"/>
    <w:rsid w:val="00EA5D80"/>
    <w:rsid w:val="00EB4F02"/>
    <w:rsid w:val="00EC2187"/>
    <w:rsid w:val="00EC51B6"/>
    <w:rsid w:val="00EE6562"/>
    <w:rsid w:val="00EE7F1F"/>
    <w:rsid w:val="00EF4FB2"/>
    <w:rsid w:val="00F04E3B"/>
    <w:rsid w:val="00F169CB"/>
    <w:rsid w:val="00F4490E"/>
    <w:rsid w:val="00F44CC9"/>
    <w:rsid w:val="00F619C9"/>
    <w:rsid w:val="00F654C4"/>
    <w:rsid w:val="00F66FD7"/>
    <w:rsid w:val="00F7033D"/>
    <w:rsid w:val="00F871F5"/>
    <w:rsid w:val="00F92982"/>
    <w:rsid w:val="00F96486"/>
    <w:rsid w:val="00FB2596"/>
    <w:rsid w:val="00FB589F"/>
    <w:rsid w:val="00FC04EE"/>
    <w:rsid w:val="00FC513E"/>
    <w:rsid w:val="00FD5F12"/>
    <w:rsid w:val="00FE51E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CF1"/>
    <w:pPr>
      <w:spacing w:after="200" w:line="276" w:lineRule="auto"/>
    </w:pPr>
    <w:rPr>
      <w:lang w:val="en-US"/>
    </w:rPr>
  </w:style>
  <w:style w:type="paragraph" w:styleId="Heading1">
    <w:name w:val="heading 1"/>
    <w:basedOn w:val="Normal"/>
    <w:next w:val="Normal"/>
    <w:link w:val="Heading1Char"/>
    <w:uiPriority w:val="9"/>
    <w:qFormat/>
    <w:rsid w:val="00C46D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3C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E7F1F"/>
    <w:pPr>
      <w:ind w:left="720"/>
      <w:contextualSpacing/>
    </w:pPr>
  </w:style>
  <w:style w:type="paragraph" w:styleId="Header">
    <w:name w:val="header"/>
    <w:basedOn w:val="Normal"/>
    <w:link w:val="HeaderChar"/>
    <w:uiPriority w:val="99"/>
    <w:unhideWhenUsed/>
    <w:rsid w:val="004B00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0058"/>
    <w:rPr>
      <w:lang w:val="en-US"/>
    </w:rPr>
  </w:style>
  <w:style w:type="paragraph" w:styleId="Footer">
    <w:name w:val="footer"/>
    <w:basedOn w:val="Normal"/>
    <w:link w:val="FooterChar"/>
    <w:uiPriority w:val="99"/>
    <w:unhideWhenUsed/>
    <w:rsid w:val="004B00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0058"/>
    <w:rPr>
      <w:lang w:val="en-US"/>
    </w:rPr>
  </w:style>
  <w:style w:type="paragraph" w:styleId="TOC2">
    <w:name w:val="toc 2"/>
    <w:basedOn w:val="Normal"/>
    <w:next w:val="Normal"/>
    <w:autoRedefine/>
    <w:uiPriority w:val="39"/>
    <w:unhideWhenUsed/>
    <w:rsid w:val="004B0058"/>
    <w:pPr>
      <w:spacing w:after="100" w:line="259" w:lineRule="auto"/>
      <w:ind w:left="220"/>
    </w:pPr>
    <w:rPr>
      <w:rFonts w:eastAsiaTheme="minorEastAsia" w:cs="Times New Roman"/>
      <w:lang w:val="en-GB"/>
    </w:rPr>
  </w:style>
  <w:style w:type="paragraph" w:styleId="BalloonText">
    <w:name w:val="Balloon Text"/>
    <w:basedOn w:val="Normal"/>
    <w:link w:val="BalloonTextChar"/>
    <w:uiPriority w:val="99"/>
    <w:semiHidden/>
    <w:unhideWhenUsed/>
    <w:rsid w:val="00D309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950"/>
    <w:rPr>
      <w:rFonts w:ascii="Segoe UI" w:hAnsi="Segoe UI" w:cs="Segoe UI"/>
      <w:sz w:val="18"/>
      <w:szCs w:val="18"/>
      <w:lang w:val="en-US"/>
    </w:rPr>
  </w:style>
  <w:style w:type="paragraph" w:customStyle="1" w:styleId="EAUCHeader">
    <w:name w:val="EAUC Header"/>
    <w:basedOn w:val="Normal"/>
    <w:link w:val="EAUCHeaderChar"/>
    <w:qFormat/>
    <w:rsid w:val="00D30950"/>
    <w:pPr>
      <w:tabs>
        <w:tab w:val="left" w:pos="8222"/>
      </w:tabs>
      <w:ind w:right="-45"/>
      <w:jc w:val="center"/>
    </w:pPr>
    <w:rPr>
      <w:rFonts w:ascii="Tahoma" w:hAnsi="Tahoma" w:cs="Tahoma"/>
      <w:color w:val="1C5FAA"/>
      <w:sz w:val="40"/>
      <w:szCs w:val="40"/>
    </w:rPr>
  </w:style>
  <w:style w:type="paragraph" w:customStyle="1" w:styleId="EAUCSUBHEADER">
    <w:name w:val="EAUC SUBHEADER"/>
    <w:basedOn w:val="Normal"/>
    <w:link w:val="EAUCSUBHEADERChar"/>
    <w:qFormat/>
    <w:rsid w:val="00D30950"/>
    <w:pPr>
      <w:tabs>
        <w:tab w:val="left" w:pos="8222"/>
      </w:tabs>
      <w:ind w:right="1530"/>
    </w:pPr>
    <w:rPr>
      <w:rFonts w:ascii="Tahoma" w:hAnsi="Tahoma" w:cs="Tahoma"/>
      <w:color w:val="804F9B"/>
      <w:sz w:val="32"/>
      <w:szCs w:val="32"/>
    </w:rPr>
  </w:style>
  <w:style w:type="character" w:customStyle="1" w:styleId="EAUCHeaderChar">
    <w:name w:val="EAUC Header Char"/>
    <w:basedOn w:val="DefaultParagraphFont"/>
    <w:link w:val="EAUCHeader"/>
    <w:rsid w:val="00D30950"/>
    <w:rPr>
      <w:rFonts w:ascii="Tahoma" w:hAnsi="Tahoma" w:cs="Tahoma"/>
      <w:color w:val="1C5FAA"/>
      <w:sz w:val="40"/>
      <w:szCs w:val="40"/>
      <w:lang w:val="en-US"/>
    </w:rPr>
  </w:style>
  <w:style w:type="paragraph" w:customStyle="1" w:styleId="EAUCSubheading">
    <w:name w:val="EAUC Sub heading"/>
    <w:basedOn w:val="Normal"/>
    <w:link w:val="EAUCSubheadingChar"/>
    <w:qFormat/>
    <w:rsid w:val="00D30950"/>
    <w:pPr>
      <w:tabs>
        <w:tab w:val="left" w:pos="2730"/>
      </w:tabs>
      <w:ind w:right="-45"/>
    </w:pPr>
    <w:rPr>
      <w:rFonts w:ascii="Proxima Nova Alt Rg" w:hAnsi="Proxima Nova Alt Rg" w:cs="Arial"/>
      <w:color w:val="898989"/>
      <w:sz w:val="32"/>
      <w:szCs w:val="32"/>
      <w:lang w:val="en-GB"/>
    </w:rPr>
  </w:style>
  <w:style w:type="character" w:customStyle="1" w:styleId="EAUCSUBHEADERChar">
    <w:name w:val="EAUC SUBHEADER Char"/>
    <w:basedOn w:val="DefaultParagraphFont"/>
    <w:link w:val="EAUCSUBHEADER"/>
    <w:rsid w:val="00D30950"/>
    <w:rPr>
      <w:rFonts w:ascii="Tahoma" w:hAnsi="Tahoma" w:cs="Tahoma"/>
      <w:color w:val="804F9B"/>
      <w:sz w:val="32"/>
      <w:szCs w:val="32"/>
      <w:lang w:val="en-US"/>
    </w:rPr>
  </w:style>
  <w:style w:type="character" w:customStyle="1" w:styleId="EAUCSubheadingChar">
    <w:name w:val="EAUC Sub heading Char"/>
    <w:basedOn w:val="DefaultParagraphFont"/>
    <w:link w:val="EAUCSubheading"/>
    <w:rsid w:val="00D30950"/>
    <w:rPr>
      <w:rFonts w:ascii="Proxima Nova Alt Rg" w:hAnsi="Proxima Nova Alt Rg" w:cs="Arial"/>
      <w:color w:val="898989"/>
      <w:sz w:val="32"/>
      <w:szCs w:val="32"/>
    </w:rPr>
  </w:style>
  <w:style w:type="character" w:styleId="Hyperlink">
    <w:name w:val="Hyperlink"/>
    <w:basedOn w:val="DefaultParagraphFont"/>
    <w:uiPriority w:val="99"/>
    <w:unhideWhenUsed/>
    <w:rsid w:val="00D042AC"/>
    <w:rPr>
      <w:color w:val="0563C1" w:themeColor="hyperlink"/>
      <w:u w:val="single"/>
    </w:rPr>
  </w:style>
  <w:style w:type="paragraph" w:styleId="FootnoteText">
    <w:name w:val="footnote text"/>
    <w:basedOn w:val="Normal"/>
    <w:link w:val="FootnoteTextChar"/>
    <w:uiPriority w:val="99"/>
    <w:semiHidden/>
    <w:unhideWhenUsed/>
    <w:rsid w:val="00D81110"/>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D81110"/>
    <w:rPr>
      <w:sz w:val="20"/>
      <w:szCs w:val="20"/>
    </w:rPr>
  </w:style>
  <w:style w:type="character" w:styleId="FootnoteReference">
    <w:name w:val="footnote reference"/>
    <w:basedOn w:val="DefaultParagraphFont"/>
    <w:uiPriority w:val="99"/>
    <w:semiHidden/>
    <w:unhideWhenUsed/>
    <w:rsid w:val="00D81110"/>
    <w:rPr>
      <w:vertAlign w:val="superscript"/>
    </w:rPr>
  </w:style>
  <w:style w:type="character" w:customStyle="1" w:styleId="Heading1Char">
    <w:name w:val="Heading 1 Char"/>
    <w:basedOn w:val="DefaultParagraphFont"/>
    <w:link w:val="Heading1"/>
    <w:uiPriority w:val="9"/>
    <w:rsid w:val="00C46D7D"/>
    <w:rPr>
      <w:rFonts w:asciiTheme="majorHAnsi" w:eastAsiaTheme="majorEastAsia" w:hAnsiTheme="majorHAnsi" w:cstheme="majorBidi"/>
      <w:color w:val="2E74B5" w:themeColor="accent1" w:themeShade="BF"/>
      <w:sz w:val="32"/>
      <w:szCs w:val="32"/>
      <w:lang w:val="en-US"/>
    </w:rPr>
  </w:style>
  <w:style w:type="paragraph" w:styleId="TOCHeading">
    <w:name w:val="TOC Heading"/>
    <w:basedOn w:val="Heading1"/>
    <w:next w:val="Normal"/>
    <w:uiPriority w:val="39"/>
    <w:unhideWhenUsed/>
    <w:qFormat/>
    <w:rsid w:val="00C46D7D"/>
    <w:pPr>
      <w:spacing w:line="259" w:lineRule="auto"/>
      <w:outlineLvl w:val="9"/>
    </w:pPr>
  </w:style>
  <w:style w:type="character" w:styleId="FollowedHyperlink">
    <w:name w:val="FollowedHyperlink"/>
    <w:basedOn w:val="DefaultParagraphFont"/>
    <w:uiPriority w:val="99"/>
    <w:semiHidden/>
    <w:unhideWhenUsed/>
    <w:rsid w:val="00586943"/>
    <w:rPr>
      <w:color w:val="954F72" w:themeColor="followedHyperlink"/>
      <w:u w:val="single"/>
    </w:rPr>
  </w:style>
  <w:style w:type="character" w:customStyle="1" w:styleId="UnresolvedMention1">
    <w:name w:val="Unresolved Mention1"/>
    <w:basedOn w:val="DefaultParagraphFont"/>
    <w:uiPriority w:val="99"/>
    <w:semiHidden/>
    <w:unhideWhenUsed/>
    <w:rsid w:val="00633437"/>
    <w:rPr>
      <w:color w:val="605E5C"/>
      <w:shd w:val="clear" w:color="auto" w:fill="E1DFDD"/>
    </w:rPr>
  </w:style>
  <w:style w:type="character" w:styleId="CommentReference">
    <w:name w:val="annotation reference"/>
    <w:basedOn w:val="DefaultParagraphFont"/>
    <w:uiPriority w:val="99"/>
    <w:semiHidden/>
    <w:unhideWhenUsed/>
    <w:rsid w:val="003676F4"/>
    <w:rPr>
      <w:sz w:val="16"/>
      <w:szCs w:val="16"/>
    </w:rPr>
  </w:style>
  <w:style w:type="paragraph" w:styleId="CommentText">
    <w:name w:val="annotation text"/>
    <w:basedOn w:val="Normal"/>
    <w:link w:val="CommentTextChar"/>
    <w:uiPriority w:val="99"/>
    <w:semiHidden/>
    <w:unhideWhenUsed/>
    <w:rsid w:val="003676F4"/>
    <w:pPr>
      <w:spacing w:line="240" w:lineRule="auto"/>
    </w:pPr>
    <w:rPr>
      <w:sz w:val="20"/>
      <w:szCs w:val="20"/>
    </w:rPr>
  </w:style>
  <w:style w:type="character" w:customStyle="1" w:styleId="CommentTextChar">
    <w:name w:val="Comment Text Char"/>
    <w:basedOn w:val="DefaultParagraphFont"/>
    <w:link w:val="CommentText"/>
    <w:uiPriority w:val="99"/>
    <w:semiHidden/>
    <w:rsid w:val="003676F4"/>
    <w:rPr>
      <w:sz w:val="20"/>
      <w:szCs w:val="20"/>
      <w:lang w:val="en-US"/>
    </w:rPr>
  </w:style>
  <w:style w:type="paragraph" w:styleId="CommentSubject">
    <w:name w:val="annotation subject"/>
    <w:basedOn w:val="CommentText"/>
    <w:next w:val="CommentText"/>
    <w:link w:val="CommentSubjectChar"/>
    <w:uiPriority w:val="99"/>
    <w:semiHidden/>
    <w:unhideWhenUsed/>
    <w:rsid w:val="003676F4"/>
    <w:rPr>
      <w:b/>
      <w:bCs/>
    </w:rPr>
  </w:style>
  <w:style w:type="character" w:customStyle="1" w:styleId="CommentSubjectChar">
    <w:name w:val="Comment Subject Char"/>
    <w:basedOn w:val="CommentTextChar"/>
    <w:link w:val="CommentSubject"/>
    <w:uiPriority w:val="99"/>
    <w:semiHidden/>
    <w:rsid w:val="003676F4"/>
    <w:rPr>
      <w:b/>
      <w:bCs/>
      <w:sz w:val="20"/>
      <w:szCs w:val="20"/>
      <w:lang w:val="en-US"/>
    </w:rPr>
  </w:style>
</w:styles>
</file>

<file path=word/webSettings.xml><?xml version="1.0" encoding="utf-8"?>
<w:webSettings xmlns:r="http://schemas.openxmlformats.org/officeDocument/2006/relationships" xmlns:w="http://schemas.openxmlformats.org/wordprocessingml/2006/main">
  <w:divs>
    <w:div w:id="44918574">
      <w:bodyDiv w:val="1"/>
      <w:marLeft w:val="0"/>
      <w:marRight w:val="0"/>
      <w:marTop w:val="0"/>
      <w:marBottom w:val="0"/>
      <w:divBdr>
        <w:top w:val="none" w:sz="0" w:space="0" w:color="auto"/>
        <w:left w:val="none" w:sz="0" w:space="0" w:color="auto"/>
        <w:bottom w:val="none" w:sz="0" w:space="0" w:color="auto"/>
        <w:right w:val="none" w:sz="0" w:space="0" w:color="auto"/>
      </w:divBdr>
    </w:div>
    <w:div w:id="171380455">
      <w:bodyDiv w:val="1"/>
      <w:marLeft w:val="0"/>
      <w:marRight w:val="0"/>
      <w:marTop w:val="0"/>
      <w:marBottom w:val="0"/>
      <w:divBdr>
        <w:top w:val="none" w:sz="0" w:space="0" w:color="auto"/>
        <w:left w:val="none" w:sz="0" w:space="0" w:color="auto"/>
        <w:bottom w:val="none" w:sz="0" w:space="0" w:color="auto"/>
        <w:right w:val="none" w:sz="0" w:space="0" w:color="auto"/>
      </w:divBdr>
    </w:div>
    <w:div w:id="297616496">
      <w:bodyDiv w:val="1"/>
      <w:marLeft w:val="0"/>
      <w:marRight w:val="0"/>
      <w:marTop w:val="0"/>
      <w:marBottom w:val="0"/>
      <w:divBdr>
        <w:top w:val="none" w:sz="0" w:space="0" w:color="auto"/>
        <w:left w:val="none" w:sz="0" w:space="0" w:color="auto"/>
        <w:bottom w:val="none" w:sz="0" w:space="0" w:color="auto"/>
        <w:right w:val="none" w:sz="0" w:space="0" w:color="auto"/>
      </w:divBdr>
    </w:div>
    <w:div w:id="501504861">
      <w:bodyDiv w:val="1"/>
      <w:marLeft w:val="0"/>
      <w:marRight w:val="0"/>
      <w:marTop w:val="0"/>
      <w:marBottom w:val="0"/>
      <w:divBdr>
        <w:top w:val="none" w:sz="0" w:space="0" w:color="auto"/>
        <w:left w:val="none" w:sz="0" w:space="0" w:color="auto"/>
        <w:bottom w:val="none" w:sz="0" w:space="0" w:color="auto"/>
        <w:right w:val="none" w:sz="0" w:space="0" w:color="auto"/>
      </w:divBdr>
    </w:div>
    <w:div w:id="1040395317">
      <w:bodyDiv w:val="1"/>
      <w:marLeft w:val="0"/>
      <w:marRight w:val="0"/>
      <w:marTop w:val="0"/>
      <w:marBottom w:val="0"/>
      <w:divBdr>
        <w:top w:val="none" w:sz="0" w:space="0" w:color="auto"/>
        <w:left w:val="none" w:sz="0" w:space="0" w:color="auto"/>
        <w:bottom w:val="none" w:sz="0" w:space="0" w:color="auto"/>
        <w:right w:val="none" w:sz="0" w:space="0" w:color="auto"/>
      </w:divBdr>
    </w:div>
    <w:div w:id="1231191266">
      <w:bodyDiv w:val="1"/>
      <w:marLeft w:val="0"/>
      <w:marRight w:val="0"/>
      <w:marTop w:val="0"/>
      <w:marBottom w:val="0"/>
      <w:divBdr>
        <w:top w:val="none" w:sz="0" w:space="0" w:color="auto"/>
        <w:left w:val="none" w:sz="0" w:space="0" w:color="auto"/>
        <w:bottom w:val="none" w:sz="0" w:space="0" w:color="auto"/>
        <w:right w:val="none" w:sz="0" w:space="0" w:color="auto"/>
      </w:divBdr>
    </w:div>
    <w:div w:id="1439301833">
      <w:bodyDiv w:val="1"/>
      <w:marLeft w:val="0"/>
      <w:marRight w:val="0"/>
      <w:marTop w:val="0"/>
      <w:marBottom w:val="0"/>
      <w:divBdr>
        <w:top w:val="none" w:sz="0" w:space="0" w:color="auto"/>
        <w:left w:val="none" w:sz="0" w:space="0" w:color="auto"/>
        <w:bottom w:val="none" w:sz="0" w:space="0" w:color="auto"/>
        <w:right w:val="none" w:sz="0" w:space="0" w:color="auto"/>
      </w:divBdr>
    </w:div>
    <w:div w:id="1468430016">
      <w:bodyDiv w:val="1"/>
      <w:marLeft w:val="0"/>
      <w:marRight w:val="0"/>
      <w:marTop w:val="0"/>
      <w:marBottom w:val="0"/>
      <w:divBdr>
        <w:top w:val="none" w:sz="0" w:space="0" w:color="auto"/>
        <w:left w:val="none" w:sz="0" w:space="0" w:color="auto"/>
        <w:bottom w:val="none" w:sz="0" w:space="0" w:color="auto"/>
        <w:right w:val="none" w:sz="0" w:space="0" w:color="auto"/>
      </w:divBdr>
    </w:div>
    <w:div w:id="1591423200">
      <w:bodyDiv w:val="1"/>
      <w:marLeft w:val="0"/>
      <w:marRight w:val="0"/>
      <w:marTop w:val="0"/>
      <w:marBottom w:val="0"/>
      <w:divBdr>
        <w:top w:val="none" w:sz="0" w:space="0" w:color="auto"/>
        <w:left w:val="none" w:sz="0" w:space="0" w:color="auto"/>
        <w:bottom w:val="none" w:sz="0" w:space="0" w:color="auto"/>
        <w:right w:val="none" w:sz="0" w:space="0" w:color="auto"/>
      </w:divBdr>
    </w:div>
    <w:div w:id="1609242120">
      <w:bodyDiv w:val="1"/>
      <w:marLeft w:val="0"/>
      <w:marRight w:val="0"/>
      <w:marTop w:val="0"/>
      <w:marBottom w:val="0"/>
      <w:divBdr>
        <w:top w:val="none" w:sz="0" w:space="0" w:color="auto"/>
        <w:left w:val="none" w:sz="0" w:space="0" w:color="auto"/>
        <w:bottom w:val="none" w:sz="0" w:space="0" w:color="auto"/>
        <w:right w:val="none" w:sz="0" w:space="0" w:color="auto"/>
      </w:divBdr>
    </w:div>
    <w:div w:id="1892181570">
      <w:bodyDiv w:val="1"/>
      <w:marLeft w:val="0"/>
      <w:marRight w:val="0"/>
      <w:marTop w:val="0"/>
      <w:marBottom w:val="0"/>
      <w:divBdr>
        <w:top w:val="none" w:sz="0" w:space="0" w:color="auto"/>
        <w:left w:val="none" w:sz="0" w:space="0" w:color="auto"/>
        <w:bottom w:val="none" w:sz="0" w:space="0" w:color="auto"/>
        <w:right w:val="none" w:sz="0" w:space="0" w:color="auto"/>
      </w:divBdr>
    </w:div>
    <w:div w:id="1920169192">
      <w:bodyDiv w:val="1"/>
      <w:marLeft w:val="0"/>
      <w:marRight w:val="0"/>
      <w:marTop w:val="0"/>
      <w:marBottom w:val="0"/>
      <w:divBdr>
        <w:top w:val="none" w:sz="0" w:space="0" w:color="auto"/>
        <w:left w:val="none" w:sz="0" w:space="0" w:color="auto"/>
        <w:bottom w:val="none" w:sz="0" w:space="0" w:color="auto"/>
        <w:right w:val="none" w:sz="0" w:space="0" w:color="auto"/>
      </w:divBdr>
    </w:div>
    <w:div w:id="210930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pwatch.org/article/netherlands-greenpeace-buys-shell-stock" TargetMode="External"/><Relationship Id="rId13" Type="http://schemas.openxmlformats.org/officeDocument/2006/relationships/hyperlink" Target="https://www.smithschool.ox.ac.uk/publications/reports/SAP-divestment-report-final.pdf" TargetMode="External"/><Relationship Id="rId18" Type="http://schemas.openxmlformats.org/officeDocument/2006/relationships/hyperlink" Target="https://lffinancialplanning.co.uk/ethical-investment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heconversation.com/fossil-fuel-divestment-will-increase-carbon-emissions-not-lower-them-heres-why-126392" TargetMode="External"/><Relationship Id="rId17" Type="http://schemas.openxmlformats.org/officeDocument/2006/relationships/hyperlink" Target="https://www.ed.ac.uk/sustainability/what-we-do/responsible-investment/policy/positive-investment-and-social-finance" TargetMode="External"/><Relationship Id="rId2" Type="http://schemas.openxmlformats.org/officeDocument/2006/relationships/numbering" Target="numbering.xml"/><Relationship Id="rId16" Type="http://schemas.openxmlformats.org/officeDocument/2006/relationships/hyperlink" Target="https://shareaction.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6fefcbb86e61af1b2fc4-c70d8ead6ced550b4d987d7c03fcdd1d.ssl.cf3.rackcdn.com/cms/reports/documents/000/003/858/original/CDP_Oil_and_Gas_Executive_Summary_2018.pdf?154178336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mithschool.ox.ac.uk/publications/reports/SAP-divestment-report-final.pdf" TargetMode="External"/><Relationship Id="rId19" Type="http://schemas.openxmlformats.org/officeDocument/2006/relationships/hyperlink" Target="https://www.ftadviser.com/2015/03/02/investments/equities/what-is-sustainable-investing-anyway-4JclDMeUDw9DHrkJZxKQiN/article.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6CD92-C0A9-4369-B4C3-938D429B5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1030</Words>
  <Characters>5875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Gloucestershire</Company>
  <LinksUpToDate>false</LinksUpToDate>
  <CharactersWithSpaces>6892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AXENTE, Teodora</dc:creator>
  <cp:lastModifiedBy>Scott's PC</cp:lastModifiedBy>
  <cp:revision>2</cp:revision>
  <cp:lastPrinted>2019-04-04T11:06:00Z</cp:lastPrinted>
  <dcterms:created xsi:type="dcterms:W3CDTF">2020-05-21T15:21:00Z</dcterms:created>
  <dcterms:modified xsi:type="dcterms:W3CDTF">2020-05-21T15:21:00Z</dcterms:modified>
</cp:coreProperties>
</file>